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ptos Display" w:hAnsi="Aptos Display"/>
          <w:b/>
          <w:color w:val="24364B"/>
          <w:sz w:val="64"/>
        </w:rPr>
        <w:t>Online Bookstore</w:t>
      </w:r>
    </w:p>
    <w:p>
      <w:pPr>
        <w:jc w:val="center"/>
      </w:pPr>
      <w:r>
        <w:rPr>
          <w:rFonts w:ascii="Aptos Display" w:hAnsi="Aptos Display"/>
          <w:b/>
          <w:color w:val="4D766E"/>
          <w:sz w:val="44"/>
        </w:rPr>
        <w:t>Pre-Launch Implementation Plan</w:t>
      </w:r>
    </w:p>
    <w:p>
      <w:pPr>
        <w:spacing w:before="240"/>
        <w:jc w:val="center"/>
      </w:pPr>
      <w:r>
        <w:rPr>
          <w:color w:val="5C6770"/>
          <w:sz w:val="22"/>
        </w:rPr>
        <w:t>Staging → supplier integration → soft launch → production</w:t>
      </w:r>
    </w:p>
    <w:p/>
    <w:tbl>
      <w:tblPr>
        <w:tblW w:type="auto" w:w="0"/>
        <w:jc w:val="center"/>
        <w:tblLayout w:type="autofit"/>
        <w:tblLook w:firstColumn="1" w:firstRow="1" w:lastColumn="0" w:lastRow="0" w:noHBand="0" w:noVBand="1" w:val="04A0"/>
      </w:tblPr>
      <w:tblGrid>
        <w:gridCol w:w="10166"/>
      </w:tblGrid>
      <w:tr>
        <w:trPr>
          <w:cantSplit/>
          <w:tblHeader w:val="true"/>
        </w:trPr>
        <w:tc>
          <w:tcPr>
            <w:tcW w:type="dxa" w:w="10166"/>
            <w:shd w:fill="EEF3F1"/>
            <w:tcMar>
              <w:top w:w="120" w:type="dxa"/>
              <w:start w:w="130" w:type="dxa"/>
              <w:bottom w:w="120" w:type="dxa"/>
              <w:end w:w="130" w:type="dxa"/>
            </w:tcMar>
          </w:tcPr>
          <w:p>
            <w:pPr>
              <w:pStyle w:val="Callout"/>
            </w:pPr>
            <w:r>
              <w:rPr>
                <w:b/>
                <w:color w:val="4D766E"/>
              </w:rPr>
              <w:t xml:space="preserve">Target: </w:t>
            </w:r>
            <w:r>
              <w:rPr>
                <w:b w:val="0"/>
                <w:color w:val="20262C"/>
              </w:rPr>
              <w:t>A production-ready WooCommerce bookstore in 4–6 weeks, using Project Gutenberg as a realistic staging catalog and BooksRun/Ingram as live suppliers.</w:t>
            </w:r>
          </w:p>
        </w:tc>
      </w:tr>
    </w:tbl>
    <w:p>
      <w:pPr>
        <w:spacing w:after="0"/>
      </w:pPr>
    </w:p>
    <w:p>
      <w:pPr>
        <w:spacing w:before="560"/>
        <w:jc w:val="center"/>
      </w:pPr>
      <w:r>
        <w:rPr>
          <w:b/>
          <w:color w:val="24364B"/>
          <w:sz w:val="22"/>
        </w:rPr>
        <w:t>Core decisions already made</w:t>
      </w:r>
    </w:p>
    <w:p>
      <w:pPr>
        <w:jc w:val="center"/>
      </w:pPr>
      <w:r>
        <w:rPr>
          <w:color w:val="20262C"/>
          <w:sz w:val="18"/>
        </w:rPr>
        <w:t>• WooCommerce on self-managed infrastructure</w:t>
      </w:r>
    </w:p>
    <w:p>
      <w:pPr>
        <w:jc w:val="center"/>
      </w:pPr>
      <w:r>
        <w:rPr>
          <w:color w:val="20262C"/>
          <w:sz w:val="18"/>
        </w:rPr>
        <w:t>• Helcim for card processing</w:t>
      </w:r>
    </w:p>
    <w:p>
      <w:pPr>
        <w:jc w:val="center"/>
      </w:pPr>
      <w:r>
        <w:rPr>
          <w:color w:val="20262C"/>
          <w:sz w:val="18"/>
        </w:rPr>
        <w:t>• BooksRun for used / opportunistic dropship inventory</w:t>
      </w:r>
    </w:p>
    <w:p>
      <w:pPr>
        <w:jc w:val="center"/>
      </w:pPr>
      <w:r>
        <w:rPr>
          <w:color w:val="20262C"/>
          <w:sz w:val="18"/>
        </w:rPr>
        <w:t>• Ingram for broad new-book wholesale fulfillment</w:t>
      </w:r>
    </w:p>
    <w:p>
      <w:pPr>
        <w:jc w:val="center"/>
      </w:pPr>
      <w:r>
        <w:rPr>
          <w:color w:val="20262C"/>
          <w:sz w:val="18"/>
        </w:rPr>
        <w:t>• Project Gutenberg for staging data</w:t>
      </w:r>
    </w:p>
    <w:p>
      <w:pPr>
        <w:jc w:val="center"/>
      </w:pPr>
      <w:r>
        <w:rPr>
          <w:color w:val="20262C"/>
          <w:sz w:val="18"/>
        </w:rPr>
        <w:t>• Blocksy Book Store starter theme</w:t>
      </w:r>
    </w:p>
    <w:p>
      <w:pPr>
        <w:jc w:val="center"/>
      </w:pPr>
      <w:r>
        <w:rPr>
          <w:color w:val="20262C"/>
          <w:sz w:val="18"/>
        </w:rPr>
        <w:t>• 25% target product margin</w:t>
      </w:r>
    </w:p>
    <w:p>
      <w:pPr>
        <w:jc w:val="center"/>
      </w:pPr>
      <w:r>
        <w:rPr>
          <w:color w:val="20262C"/>
          <w:sz w:val="18"/>
        </w:rPr>
        <w:t>• Free shipping at $25; free members at $15</w:t>
      </w:r>
    </w:p>
    <w:p>
      <w:pPr>
        <w:jc w:val="center"/>
      </w:pPr>
      <w:r>
        <w:rPr>
          <w:color w:val="20262C"/>
          <w:sz w:val="18"/>
        </w:rPr>
        <w:t>• Free membership designed primarily for retention/email</w:t>
      </w:r>
    </w:p>
    <w:p>
      <w:pPr>
        <w:jc w:val="center"/>
      </w:pPr>
      <w:r>
        <w:rPr>
          <w:color w:val="20262C"/>
          <w:sz w:val="18"/>
        </w:rPr>
        <w:t>• Own Git server; separate staging and production environments</w:t>
      </w:r>
    </w:p>
    <w:p>
      <w:r>
        <w:br w:type="page"/>
      </w:r>
    </w:p>
    <w:p>
      <w:pPr>
        <w:pStyle w:val="Heading1"/>
      </w:pPr>
      <w:r>
        <w:t>1. Executive Summary</w:t>
      </w:r>
    </w:p>
    <w:p>
      <w:r>
        <w:t>The fastest safe path is to build the complete ordering system against synthetic supplier data first, then replace the staging supplier adapter with live BooksRun and Ingram integrations. The public storefront should remain thin; the real business logic belongs in one custom plugin and dedicated catalog tables.</w:t>
      </w:r>
    </w:p>
    <w:tbl>
      <w:tblPr>
        <w:tblW w:type="auto" w:w="0"/>
        <w:jc w:val="center"/>
        <w:tblLayout w:type="autofit"/>
        <w:tblLook w:firstColumn="1" w:firstRow="1" w:lastColumn="0" w:lastRow="0" w:noHBand="0" w:noVBand="1" w:val="04A0"/>
      </w:tblPr>
      <w:tblGrid>
        <w:gridCol w:w="10166"/>
      </w:tblGrid>
      <w:tr>
        <w:trPr>
          <w:cantSplit/>
          <w:tblHeader w:val="true"/>
        </w:trPr>
        <w:tc>
          <w:tcPr>
            <w:tcW w:type="dxa" w:w="10166"/>
            <w:shd w:fill="EEF3F1"/>
            <w:tcMar>
              <w:top w:w="120" w:type="dxa"/>
              <w:start w:w="130" w:type="dxa"/>
              <w:bottom w:w="120" w:type="dxa"/>
              <w:end w:w="130" w:type="dxa"/>
            </w:tcMar>
          </w:tcPr>
          <w:p>
            <w:pPr>
              <w:pStyle w:val="Callout"/>
            </w:pPr>
            <w:r>
              <w:rPr>
                <w:b/>
                <w:color w:val="4D766E"/>
              </w:rPr>
              <w:t xml:space="preserve">Recommended launch window: </w:t>
            </w:r>
            <w:r>
              <w:rPr>
                <w:b w:val="0"/>
                <w:color w:val="20262C"/>
              </w:rPr>
              <w:t>4 weeks is achievable if supplier/payment access is ready and scope stays disciplined. Plan for 5 weeks and keep Week 6 as contingency for supplier onboarding, tax/legal items, or integration defects.</w:t>
            </w:r>
          </w:p>
        </w:tc>
      </w:tr>
    </w:tbl>
    <w:p>
      <w:pPr>
        <w:spacing w:after="0"/>
      </w:pPr>
    </w:p>
    <w:p>
      <w:pPr>
        <w:pStyle w:val="Heading2"/>
      </w:pPr>
      <w:r>
        <w:t>Launch definition</w:t>
      </w:r>
    </w:p>
    <w:p>
      <w:pPr>
        <w:pStyle w:val="ListBullet"/>
        <w:spacing w:after="50"/>
      </w:pPr>
      <w:r>
        <w:t>A customer can search/browse a real catalog, select a condition/edition where appropriate, and place an order.</w:t>
      </w:r>
    </w:p>
    <w:p>
      <w:pPr>
        <w:pStyle w:val="ListBullet"/>
        <w:spacing w:after="50"/>
      </w:pPr>
      <w:r>
        <w:t>Payment is authorized first; the system rechecks supplier availability and price before capture.</w:t>
      </w:r>
    </w:p>
    <w:p>
      <w:pPr>
        <w:pStyle w:val="ListBullet"/>
        <w:spacing w:after="50"/>
      </w:pPr>
      <w:r>
        <w:t>Orders that remain profitable are captured and sent to the selected supplier automatically.</w:t>
      </w:r>
    </w:p>
    <w:p>
      <w:pPr>
        <w:pStyle w:val="ListBullet"/>
        <w:spacing w:after="50"/>
      </w:pPr>
      <w:r>
        <w:t>Exceptions are held for review instead of silently failing.</w:t>
      </w:r>
    </w:p>
    <w:p>
      <w:pPr>
        <w:pStyle w:val="ListBullet"/>
        <w:spacing w:after="50"/>
      </w:pPr>
      <w:r>
        <w:t>Tracking, transactional email, refunds, inventory refreshes, backups, and monitoring work end to end.</w:t>
      </w:r>
    </w:p>
    <w:p>
      <w:pPr>
        <w:pStyle w:val="ListBullet"/>
        <w:spacing w:after="50"/>
      </w:pPr>
      <w:r>
        <w:t>Free-member status correctly changes the free-shipping threshold from $25 to $15.</w:t>
      </w:r>
    </w:p>
    <w:p>
      <w:pPr>
        <w:pStyle w:val="Heading2"/>
      </w:pPr>
      <w:r>
        <w:t>What is intentionally not required for launch</w:t>
      </w:r>
    </w:p>
    <w:p>
      <w:pPr>
        <w:pStyle w:val="ListBullet"/>
        <w:spacing w:after="50"/>
      </w:pPr>
      <w:r>
        <w:t>Crypto payments.</w:t>
      </w:r>
    </w:p>
    <w:p>
      <w:pPr>
        <w:pStyle w:val="ListBullet"/>
        <w:spacing w:after="50"/>
      </w:pPr>
      <w:r>
        <w:t>Hardcover.app personalization.</w:t>
      </w:r>
    </w:p>
    <w:p>
      <w:pPr>
        <w:pStyle w:val="ListBullet"/>
        <w:spacing w:after="50"/>
      </w:pPr>
      <w:r>
        <w:t>A paid membership/subscription system.</w:t>
      </w:r>
    </w:p>
    <w:p>
      <w:pPr>
        <w:pStyle w:val="ListBullet"/>
        <w:spacing w:after="50"/>
      </w:pPr>
      <w:r>
        <w:t>In-house print-on-demand equipment.</w:t>
      </w:r>
    </w:p>
    <w:p>
      <w:pPr>
        <w:pStyle w:val="ListBullet"/>
        <w:spacing w:after="50"/>
      </w:pPr>
      <w:r>
        <w:t>A million-title catalog.</w:t>
      </w:r>
    </w:p>
    <w:p>
      <w:pPr>
        <w:pStyle w:val="ListBullet"/>
        <w:spacing w:after="50"/>
      </w:pPr>
      <w:r>
        <w:t>Advanced AI recommendations.</w:t>
      </w:r>
    </w:p>
    <w:p>
      <w:pPr>
        <w:pStyle w:val="ListBullet"/>
        <w:spacing w:after="50"/>
      </w:pPr>
      <w:r>
        <w:t>A custom frontend or page builder.</w:t>
      </w:r>
    </w:p>
    <w:p>
      <w:pPr>
        <w:pStyle w:val="Heading1"/>
      </w:pPr>
      <w:r>
        <w:t>2. Target Architecture</w:t>
      </w:r>
    </w:p>
    <w:p>
      <w:r>
        <w:rPr>
          <w:b/>
        </w:rPr>
        <w:t xml:space="preserve">Keep staging and production separate, but run the same code in both environments. </w:t>
      </w:r>
      <w:r>
        <w:t>Only configuration, credentials, data sources, and external endpoints should differ.</w:t>
      </w:r>
    </w:p>
    <w:tbl>
      <w:tblPr>
        <w:tblStyle w:val="TableGrid"/>
        <w:tblW w:type="auto" w:w="0"/>
        <w:jc w:val="center"/>
        <w:tblLook w:firstColumn="1" w:firstRow="1" w:lastColumn="0" w:lastRow="0" w:noHBand="0" w:noVBand="1" w:val="04A0"/>
      </w:tblPr>
      <w:tblGrid>
        <w:gridCol w:w="3389"/>
        <w:gridCol w:w="3389"/>
        <w:gridCol w:w="3389"/>
      </w:tblGrid>
      <w:tr>
        <w:trPr>
          <w:cantSplit/>
          <w:tblHeader w:val="true"/>
        </w:trPr>
        <w:tc>
          <w:tcPr>
            <w:tcW w:type="dxa" w:w="2088"/>
            <w:vAlign w:val="center"/>
            <w:tcMar>
              <w:top w:w="70" w:type="dxa"/>
              <w:start w:w="90" w:type="dxa"/>
              <w:bottom w:w="70" w:type="dxa"/>
              <w:end w:w="90" w:type="dxa"/>
            </w:tcMar>
            <w:shd w:fill="24364B"/>
          </w:tcPr>
          <w:p>
            <w:pPr>
              <w:spacing w:after="0" w:before="0"/>
            </w:pPr>
            <w:r>
              <w:rPr>
                <w:rFonts w:ascii="Aptos" w:hAnsi="Aptos"/>
                <w:b/>
                <w:color w:val="FFFFFF"/>
                <w:sz w:val="16"/>
              </w:rPr>
              <w:t>Layer</w:t>
            </w:r>
          </w:p>
        </w:tc>
        <w:tc>
          <w:tcPr>
            <w:tcW w:type="dxa" w:w="3528"/>
            <w:vAlign w:val="center"/>
            <w:tcMar>
              <w:top w:w="70" w:type="dxa"/>
              <w:start w:w="90" w:type="dxa"/>
              <w:bottom w:w="70" w:type="dxa"/>
              <w:end w:w="90" w:type="dxa"/>
            </w:tcMar>
            <w:shd w:fill="24364B"/>
          </w:tcPr>
          <w:p>
            <w:pPr>
              <w:spacing w:after="0" w:before="0"/>
            </w:pPr>
            <w:r>
              <w:rPr>
                <w:rFonts w:ascii="Aptos" w:hAnsi="Aptos"/>
                <w:b/>
                <w:color w:val="FFFFFF"/>
                <w:sz w:val="16"/>
              </w:rPr>
              <w:t>Staging</w:t>
            </w:r>
          </w:p>
        </w:tc>
        <w:tc>
          <w:tcPr>
            <w:tcW w:type="dxa" w:w="3528"/>
            <w:vAlign w:val="center"/>
            <w:tcMar>
              <w:top w:w="70" w:type="dxa"/>
              <w:start w:w="90" w:type="dxa"/>
              <w:bottom w:w="70" w:type="dxa"/>
              <w:end w:w="90" w:type="dxa"/>
            </w:tcMar>
            <w:shd w:fill="24364B"/>
          </w:tcPr>
          <w:p>
            <w:pPr>
              <w:spacing w:after="0" w:before="0"/>
            </w:pPr>
            <w:r>
              <w:rPr>
                <w:rFonts w:ascii="Aptos" w:hAnsi="Aptos"/>
                <w:b/>
                <w:color w:val="FFFFFF"/>
                <w:sz w:val="16"/>
              </w:rPr>
              <w:t>Production</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Storefront</w:t>
            </w:r>
          </w:p>
        </w:tc>
        <w:tc>
          <w:tcPr>
            <w:tcW w:type="dxa" w:w="3528"/>
            <w:vAlign w:val="center"/>
            <w:tcMar>
              <w:top w:w="70" w:type="dxa"/>
              <w:start w:w="90" w:type="dxa"/>
              <w:bottom w:w="70" w:type="dxa"/>
              <w:end w:w="90" w:type="dxa"/>
            </w:tcMar>
          </w:tcPr>
          <w:p>
            <w:pPr>
              <w:spacing w:after="0" w:before="0"/>
            </w:pPr>
            <w:r>
              <w:rPr>
                <w:rFonts w:ascii="Aptos" w:hAnsi="Aptos"/>
                <w:sz w:val="16"/>
              </w:rPr>
              <w:t>WordPress + WooCommerce</w:t>
            </w:r>
          </w:p>
        </w:tc>
        <w:tc>
          <w:tcPr>
            <w:tcW w:type="dxa" w:w="3528"/>
            <w:vAlign w:val="center"/>
            <w:tcMar>
              <w:top w:w="70" w:type="dxa"/>
              <w:start w:w="90" w:type="dxa"/>
              <w:bottom w:w="70" w:type="dxa"/>
              <w:end w:w="90" w:type="dxa"/>
            </w:tcMar>
          </w:tcPr>
          <w:p>
            <w:pPr>
              <w:spacing w:after="0" w:before="0"/>
            </w:pPr>
            <w:r>
              <w:rPr>
                <w:rFonts w:ascii="Aptos" w:hAnsi="Aptos"/>
                <w:sz w:val="16"/>
              </w:rPr>
              <w:t>WordPress + WooCommerce</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Theme</w:t>
            </w:r>
          </w:p>
        </w:tc>
        <w:tc>
          <w:tcPr>
            <w:tcW w:type="dxa" w:w="3528"/>
            <w:vAlign w:val="center"/>
            <w:tcMar>
              <w:top w:w="70" w:type="dxa"/>
              <w:start w:w="90" w:type="dxa"/>
              <w:bottom w:w="70" w:type="dxa"/>
              <w:end w:w="90" w:type="dxa"/>
            </w:tcMar>
            <w:shd w:fill="F5F7F8"/>
          </w:tcPr>
          <w:p>
            <w:pPr>
              <w:spacing w:after="0" w:before="0"/>
            </w:pPr>
            <w:r>
              <w:rPr>
                <w:rFonts w:ascii="Aptos" w:hAnsi="Aptos"/>
                <w:sz w:val="16"/>
              </w:rPr>
              <w:t>Blocksy Book Store</w:t>
            </w:r>
          </w:p>
        </w:tc>
        <w:tc>
          <w:tcPr>
            <w:tcW w:type="dxa" w:w="3528"/>
            <w:vAlign w:val="center"/>
            <w:tcMar>
              <w:top w:w="70" w:type="dxa"/>
              <w:start w:w="90" w:type="dxa"/>
              <w:bottom w:w="70" w:type="dxa"/>
              <w:end w:w="90" w:type="dxa"/>
            </w:tcMar>
            <w:shd w:fill="F5F7F8"/>
          </w:tcPr>
          <w:p>
            <w:pPr>
              <w:spacing w:after="0" w:before="0"/>
            </w:pPr>
            <w:r>
              <w:rPr>
                <w:rFonts w:ascii="Aptos" w:hAnsi="Aptos"/>
                <w:sz w:val="16"/>
              </w:rPr>
              <w:t>Blocksy Book Store</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Catalog source</w:t>
            </w:r>
          </w:p>
        </w:tc>
        <w:tc>
          <w:tcPr>
            <w:tcW w:type="dxa" w:w="3528"/>
            <w:vAlign w:val="center"/>
            <w:tcMar>
              <w:top w:w="70" w:type="dxa"/>
              <w:start w:w="90" w:type="dxa"/>
              <w:bottom w:w="70" w:type="dxa"/>
              <w:end w:w="90" w:type="dxa"/>
            </w:tcMar>
          </w:tcPr>
          <w:p>
            <w:pPr>
              <w:spacing w:after="0" w:before="0"/>
            </w:pPr>
            <w:r>
              <w:rPr>
                <w:rFonts w:ascii="Aptos" w:hAnsi="Aptos"/>
                <w:sz w:val="16"/>
              </w:rPr>
              <w:t>Project Gutenberg + synthetic offers</w:t>
            </w:r>
          </w:p>
        </w:tc>
        <w:tc>
          <w:tcPr>
            <w:tcW w:type="dxa" w:w="3528"/>
            <w:vAlign w:val="center"/>
            <w:tcMar>
              <w:top w:w="70" w:type="dxa"/>
              <w:start w:w="90" w:type="dxa"/>
              <w:bottom w:w="70" w:type="dxa"/>
              <w:end w:w="90" w:type="dxa"/>
            </w:tcMar>
          </w:tcPr>
          <w:p>
            <w:pPr>
              <w:spacing w:after="0" w:before="0"/>
            </w:pPr>
            <w:r>
              <w:rPr>
                <w:rFonts w:ascii="Aptos" w:hAnsi="Aptos"/>
                <w:sz w:val="16"/>
              </w:rPr>
              <w:t>BooksRun + Ingram</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Payments</w:t>
            </w:r>
          </w:p>
        </w:tc>
        <w:tc>
          <w:tcPr>
            <w:tcW w:type="dxa" w:w="3528"/>
            <w:vAlign w:val="center"/>
            <w:tcMar>
              <w:top w:w="70" w:type="dxa"/>
              <w:start w:w="90" w:type="dxa"/>
              <w:bottom w:w="70" w:type="dxa"/>
              <w:end w:w="90" w:type="dxa"/>
            </w:tcMar>
            <w:shd w:fill="F5F7F8"/>
          </w:tcPr>
          <w:p>
            <w:pPr>
              <w:spacing w:after="0" w:before="0"/>
            </w:pPr>
            <w:r>
              <w:rPr>
                <w:rFonts w:ascii="Aptos" w:hAnsi="Aptos"/>
                <w:sz w:val="16"/>
              </w:rPr>
              <w:t>Helcim sandbox</w:t>
            </w:r>
          </w:p>
        </w:tc>
        <w:tc>
          <w:tcPr>
            <w:tcW w:type="dxa" w:w="3528"/>
            <w:vAlign w:val="center"/>
            <w:tcMar>
              <w:top w:w="70" w:type="dxa"/>
              <w:start w:w="90" w:type="dxa"/>
              <w:bottom w:w="70" w:type="dxa"/>
              <w:end w:w="90" w:type="dxa"/>
            </w:tcMar>
            <w:shd w:fill="F5F7F8"/>
          </w:tcPr>
          <w:p>
            <w:pPr>
              <w:spacing w:after="0" w:before="0"/>
            </w:pPr>
            <w:r>
              <w:rPr>
                <w:rFonts w:ascii="Aptos" w:hAnsi="Aptos"/>
                <w:sz w:val="16"/>
              </w:rPr>
              <w:t>Helcim live</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Database</w:t>
            </w:r>
          </w:p>
        </w:tc>
        <w:tc>
          <w:tcPr>
            <w:tcW w:type="dxa" w:w="3528"/>
            <w:vAlign w:val="center"/>
            <w:tcMar>
              <w:top w:w="70" w:type="dxa"/>
              <w:start w:w="90" w:type="dxa"/>
              <w:bottom w:w="70" w:type="dxa"/>
              <w:end w:w="90" w:type="dxa"/>
            </w:tcMar>
          </w:tcPr>
          <w:p>
            <w:pPr>
              <w:spacing w:after="0" w:before="0"/>
            </w:pPr>
            <w:r>
              <w:rPr>
                <w:rFonts w:ascii="Aptos" w:hAnsi="Aptos"/>
                <w:sz w:val="16"/>
              </w:rPr>
              <w:t>Separate MariaDB database/schema</w:t>
            </w:r>
          </w:p>
        </w:tc>
        <w:tc>
          <w:tcPr>
            <w:tcW w:type="dxa" w:w="3528"/>
            <w:vAlign w:val="center"/>
            <w:tcMar>
              <w:top w:w="70" w:type="dxa"/>
              <w:start w:w="90" w:type="dxa"/>
              <w:bottom w:w="70" w:type="dxa"/>
              <w:end w:w="90" w:type="dxa"/>
            </w:tcMar>
          </w:tcPr>
          <w:p>
            <w:pPr>
              <w:spacing w:after="0" w:before="0"/>
            </w:pPr>
            <w:r>
              <w:rPr>
                <w:rFonts w:ascii="Aptos" w:hAnsi="Aptos"/>
                <w:sz w:val="16"/>
              </w:rPr>
              <w:t>Separate MariaDB database/schema</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Cache</w:t>
            </w:r>
          </w:p>
        </w:tc>
        <w:tc>
          <w:tcPr>
            <w:tcW w:type="dxa" w:w="3528"/>
            <w:vAlign w:val="center"/>
            <w:tcMar>
              <w:top w:w="70" w:type="dxa"/>
              <w:start w:w="90" w:type="dxa"/>
              <w:bottom w:w="70" w:type="dxa"/>
              <w:end w:w="90" w:type="dxa"/>
            </w:tcMar>
            <w:shd w:fill="F5F7F8"/>
          </w:tcPr>
          <w:p>
            <w:pPr>
              <w:spacing w:after="0" w:before="0"/>
            </w:pPr>
            <w:r>
              <w:rPr>
                <w:rFonts w:ascii="Aptos" w:hAnsi="Aptos"/>
                <w:sz w:val="16"/>
              </w:rPr>
              <w:t>Redis</w:t>
            </w:r>
          </w:p>
        </w:tc>
        <w:tc>
          <w:tcPr>
            <w:tcW w:type="dxa" w:w="3528"/>
            <w:vAlign w:val="center"/>
            <w:tcMar>
              <w:top w:w="70" w:type="dxa"/>
              <w:start w:w="90" w:type="dxa"/>
              <w:bottom w:w="70" w:type="dxa"/>
              <w:end w:w="90" w:type="dxa"/>
            </w:tcMar>
            <w:shd w:fill="F5F7F8"/>
          </w:tcPr>
          <w:p>
            <w:pPr>
              <w:spacing w:after="0" w:before="0"/>
            </w:pPr>
            <w:r>
              <w:rPr>
                <w:rFonts w:ascii="Aptos" w:hAnsi="Aptos"/>
                <w:sz w:val="16"/>
              </w:rPr>
              <w:t>Redis</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Jobs</w:t>
            </w:r>
          </w:p>
        </w:tc>
        <w:tc>
          <w:tcPr>
            <w:tcW w:type="dxa" w:w="3528"/>
            <w:vAlign w:val="center"/>
            <w:tcMar>
              <w:top w:w="70" w:type="dxa"/>
              <w:start w:w="90" w:type="dxa"/>
              <w:bottom w:w="70" w:type="dxa"/>
              <w:end w:w="90" w:type="dxa"/>
            </w:tcMar>
          </w:tcPr>
          <w:p>
            <w:pPr>
              <w:spacing w:after="0" w:before="0"/>
            </w:pPr>
            <w:r>
              <w:rPr>
                <w:rFonts w:ascii="Aptos" w:hAnsi="Aptos"/>
                <w:sz w:val="16"/>
              </w:rPr>
              <w:t>Action Scheduler + system cron</w:t>
            </w:r>
          </w:p>
        </w:tc>
        <w:tc>
          <w:tcPr>
            <w:tcW w:type="dxa" w:w="3528"/>
            <w:vAlign w:val="center"/>
            <w:tcMar>
              <w:top w:w="70" w:type="dxa"/>
              <w:start w:w="90" w:type="dxa"/>
              <w:bottom w:w="70" w:type="dxa"/>
              <w:end w:w="90" w:type="dxa"/>
            </w:tcMar>
          </w:tcPr>
          <w:p>
            <w:pPr>
              <w:spacing w:after="0" w:before="0"/>
            </w:pPr>
            <w:r>
              <w:rPr>
                <w:rFonts w:ascii="Aptos" w:hAnsi="Aptos"/>
                <w:sz w:val="16"/>
              </w:rPr>
              <w:t>Action Scheduler + system cron</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Email</w:t>
            </w:r>
          </w:p>
        </w:tc>
        <w:tc>
          <w:tcPr>
            <w:tcW w:type="dxa" w:w="3528"/>
            <w:vAlign w:val="center"/>
            <w:tcMar>
              <w:top w:w="70" w:type="dxa"/>
              <w:start w:w="90" w:type="dxa"/>
              <w:bottom w:w="70" w:type="dxa"/>
              <w:end w:w="90" w:type="dxa"/>
            </w:tcMar>
            <w:shd w:fill="F5F7F8"/>
          </w:tcPr>
          <w:p>
            <w:pPr>
              <w:spacing w:after="0" w:before="0"/>
            </w:pPr>
            <w:r>
              <w:rPr>
                <w:rFonts w:ascii="Aptos" w:hAnsi="Aptos"/>
                <w:sz w:val="16"/>
              </w:rPr>
              <w:t>Mail catcher; nothing leaves server</w:t>
            </w:r>
          </w:p>
        </w:tc>
        <w:tc>
          <w:tcPr>
            <w:tcW w:type="dxa" w:w="3528"/>
            <w:vAlign w:val="center"/>
            <w:tcMar>
              <w:top w:w="70" w:type="dxa"/>
              <w:start w:w="90" w:type="dxa"/>
              <w:bottom w:w="70" w:type="dxa"/>
              <w:end w:w="90" w:type="dxa"/>
            </w:tcMar>
            <w:shd w:fill="F5F7F8"/>
          </w:tcPr>
          <w:p>
            <w:pPr>
              <w:spacing w:after="0" w:before="0"/>
            </w:pPr>
            <w:r>
              <w:rPr>
                <w:rFonts w:ascii="Aptos" w:hAnsi="Aptos"/>
                <w:sz w:val="16"/>
              </w:rPr>
              <w:t>Transactional email provider</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Marketing</w:t>
            </w:r>
          </w:p>
        </w:tc>
        <w:tc>
          <w:tcPr>
            <w:tcW w:type="dxa" w:w="3528"/>
            <w:vAlign w:val="center"/>
            <w:tcMar>
              <w:top w:w="70" w:type="dxa"/>
              <w:start w:w="90" w:type="dxa"/>
              <w:bottom w:w="70" w:type="dxa"/>
              <w:end w:w="90" w:type="dxa"/>
            </w:tcMar>
          </w:tcPr>
          <w:p>
            <w:pPr>
              <w:spacing w:after="0" w:before="0"/>
            </w:pPr>
            <w:r>
              <w:rPr>
                <w:rFonts w:ascii="Aptos" w:hAnsi="Aptos"/>
                <w:sz w:val="16"/>
              </w:rPr>
              <w:t>Test list only / disabled</w:t>
            </w:r>
          </w:p>
        </w:tc>
        <w:tc>
          <w:tcPr>
            <w:tcW w:type="dxa" w:w="3528"/>
            <w:vAlign w:val="center"/>
            <w:tcMar>
              <w:top w:w="70" w:type="dxa"/>
              <w:start w:w="90" w:type="dxa"/>
              <w:bottom w:w="70" w:type="dxa"/>
              <w:end w:w="90" w:type="dxa"/>
            </w:tcMar>
          </w:tcPr>
          <w:p>
            <w:pPr>
              <w:spacing w:after="0" w:before="0"/>
            </w:pPr>
            <w:r>
              <w:rPr>
                <w:rFonts w:ascii="Aptos" w:hAnsi="Aptos"/>
                <w:sz w:val="16"/>
              </w:rPr>
              <w:t>MailerLite when ready</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Search indexing</w:t>
            </w:r>
          </w:p>
        </w:tc>
        <w:tc>
          <w:tcPr>
            <w:tcW w:type="dxa" w:w="3528"/>
            <w:vAlign w:val="center"/>
            <w:tcMar>
              <w:top w:w="70" w:type="dxa"/>
              <w:start w:w="90" w:type="dxa"/>
              <w:bottom w:w="70" w:type="dxa"/>
              <w:end w:w="90" w:type="dxa"/>
            </w:tcMar>
            <w:shd w:fill="F5F7F8"/>
          </w:tcPr>
          <w:p>
            <w:pPr>
              <w:spacing w:after="0" w:before="0"/>
            </w:pPr>
            <w:r>
              <w:rPr>
                <w:rFonts w:ascii="Aptos" w:hAnsi="Aptos"/>
                <w:sz w:val="16"/>
              </w:rPr>
              <w:t>noindex + password/IP restriction</w:t>
            </w:r>
          </w:p>
        </w:tc>
        <w:tc>
          <w:tcPr>
            <w:tcW w:type="dxa" w:w="3528"/>
            <w:vAlign w:val="center"/>
            <w:tcMar>
              <w:top w:w="70" w:type="dxa"/>
              <w:start w:w="90" w:type="dxa"/>
              <w:bottom w:w="70" w:type="dxa"/>
              <w:end w:w="90" w:type="dxa"/>
            </w:tcMar>
            <w:shd w:fill="F5F7F8"/>
          </w:tcPr>
          <w:p>
            <w:pPr>
              <w:spacing w:after="0" w:before="0"/>
            </w:pPr>
            <w:r>
              <w:rPr>
                <w:rFonts w:ascii="Aptos" w:hAnsi="Aptos"/>
                <w:sz w:val="16"/>
              </w:rPr>
              <w:t>Publicly indexable</w:t>
            </w:r>
          </w:p>
        </w:tc>
      </w:tr>
      <w:tr>
        <w:trPr>
          <w:cantSplit/>
        </w:trPr>
        <w:tc>
          <w:tcPr>
            <w:tcW w:type="dxa" w:w="2088"/>
            <w:vAlign w:val="center"/>
            <w:tcMar>
              <w:top w:w="70" w:type="dxa"/>
              <w:start w:w="90" w:type="dxa"/>
              <w:bottom w:w="70" w:type="dxa"/>
              <w:end w:w="90" w:type="dxa"/>
            </w:tcMar>
          </w:tcPr>
          <w:p>
            <w:pPr>
              <w:spacing w:after="0" w:before="0"/>
            </w:pPr>
            <w:r>
              <w:rPr>
                <w:rFonts w:ascii="Aptos" w:hAnsi="Aptos"/>
                <w:sz w:val="16"/>
              </w:rPr>
              <w:t>Git</w:t>
            </w:r>
          </w:p>
        </w:tc>
        <w:tc>
          <w:tcPr>
            <w:tcW w:type="dxa" w:w="3528"/>
            <w:vAlign w:val="center"/>
            <w:tcMar>
              <w:top w:w="70" w:type="dxa"/>
              <w:start w:w="90" w:type="dxa"/>
              <w:bottom w:w="70" w:type="dxa"/>
              <w:end w:w="90" w:type="dxa"/>
            </w:tcMar>
          </w:tcPr>
          <w:p>
            <w:pPr>
              <w:spacing w:after="0" w:before="0"/>
            </w:pPr>
            <w:r>
              <w:rPr>
                <w:rFonts w:ascii="Aptos" w:hAnsi="Aptos"/>
                <w:sz w:val="16"/>
              </w:rPr>
              <w:t>Same repository</w:t>
            </w:r>
          </w:p>
        </w:tc>
        <w:tc>
          <w:tcPr>
            <w:tcW w:type="dxa" w:w="3528"/>
            <w:vAlign w:val="center"/>
            <w:tcMar>
              <w:top w:w="70" w:type="dxa"/>
              <w:start w:w="90" w:type="dxa"/>
              <w:bottom w:w="70" w:type="dxa"/>
              <w:end w:w="90" w:type="dxa"/>
            </w:tcMar>
          </w:tcPr>
          <w:p>
            <w:pPr>
              <w:spacing w:after="0" w:before="0"/>
            </w:pPr>
            <w:r>
              <w:rPr>
                <w:rFonts w:ascii="Aptos" w:hAnsi="Aptos"/>
                <w:sz w:val="16"/>
              </w:rPr>
              <w:t>Same repository</w:t>
            </w:r>
          </w:p>
        </w:tc>
      </w:tr>
      <w:tr>
        <w:trPr>
          <w:cantSplit/>
        </w:trPr>
        <w:tc>
          <w:tcPr>
            <w:tcW w:type="dxa" w:w="2088"/>
            <w:vAlign w:val="center"/>
            <w:tcMar>
              <w:top w:w="70" w:type="dxa"/>
              <w:start w:w="90" w:type="dxa"/>
              <w:bottom w:w="70" w:type="dxa"/>
              <w:end w:w="90" w:type="dxa"/>
            </w:tcMar>
            <w:shd w:fill="F5F7F8"/>
          </w:tcPr>
          <w:p>
            <w:pPr>
              <w:spacing w:after="0" w:before="0"/>
            </w:pPr>
            <w:r>
              <w:rPr>
                <w:rFonts w:ascii="Aptos" w:hAnsi="Aptos"/>
                <w:sz w:val="16"/>
              </w:rPr>
              <w:t>Secrets</w:t>
            </w:r>
          </w:p>
        </w:tc>
        <w:tc>
          <w:tcPr>
            <w:tcW w:type="dxa" w:w="3528"/>
            <w:vAlign w:val="center"/>
            <w:tcMar>
              <w:top w:w="70" w:type="dxa"/>
              <w:start w:w="90" w:type="dxa"/>
              <w:bottom w:w="70" w:type="dxa"/>
              <w:end w:w="90" w:type="dxa"/>
            </w:tcMar>
            <w:shd w:fill="F5F7F8"/>
          </w:tcPr>
          <w:p>
            <w:pPr>
              <w:spacing w:after="0" w:before="0"/>
            </w:pPr>
            <w:r>
              <w:rPr>
                <w:rFonts w:ascii="Aptos" w:hAnsi="Aptos"/>
                <w:sz w:val="16"/>
              </w:rPr>
              <w:t>Test keys only</w:t>
            </w:r>
          </w:p>
        </w:tc>
        <w:tc>
          <w:tcPr>
            <w:tcW w:type="dxa" w:w="3528"/>
            <w:vAlign w:val="center"/>
            <w:tcMar>
              <w:top w:w="70" w:type="dxa"/>
              <w:start w:w="90" w:type="dxa"/>
              <w:bottom w:w="70" w:type="dxa"/>
              <w:end w:w="90" w:type="dxa"/>
            </w:tcMar>
            <w:shd w:fill="F5F7F8"/>
          </w:tcPr>
          <w:p>
            <w:pPr>
              <w:spacing w:after="0" w:before="0"/>
            </w:pPr>
            <w:r>
              <w:rPr>
                <w:rFonts w:ascii="Aptos" w:hAnsi="Aptos"/>
                <w:sz w:val="16"/>
              </w:rPr>
              <w:t>Production keys only</w:t>
            </w:r>
          </w:p>
        </w:tc>
      </w:tr>
    </w:tbl>
    <w:p>
      <w:pPr>
        <w:pStyle w:val="Heading2"/>
      </w:pPr>
      <w:r>
        <w:t>The custom plugin</w:t>
      </w:r>
    </w:p>
    <w:p>
      <w:r>
        <w:rPr>
          <w:b/>
        </w:rPr>
        <w:t xml:space="preserve">Create one first-party plugin (working name: bookstore-core) that owns the business logic. </w:t>
      </w:r>
      <w:r>
        <w:t>Do not put supplier logic in the theme and do not distribute it across unrelated plugins.</w:t>
      </w:r>
    </w:p>
    <w:p>
      <w:pPr>
        <w:pStyle w:val="ListBullet"/>
        <w:spacing w:after="50"/>
      </w:pPr>
      <w:r>
        <w:t>Catalog model: Work → Edition → ISBN → Cover Variant → Supplier Offer.</w:t>
      </w:r>
    </w:p>
    <w:p>
      <w:pPr>
        <w:pStyle w:val="ListBullet"/>
        <w:spacing w:after="50"/>
      </w:pPr>
      <w:r>
        <w:t>Supplier adapters: GutenbergTestAdapter, BooksRunAdapter, IngramAdapter.</w:t>
      </w:r>
    </w:p>
    <w:p>
      <w:pPr>
        <w:pStyle w:val="ListBullet"/>
        <w:spacing w:after="50"/>
      </w:pPr>
      <w:r>
        <w:t>Pricing: landed supplier cost, processing estimate, 25% target margin, shipping thresholds.</w:t>
      </w:r>
    </w:p>
    <w:p>
      <w:pPr>
        <w:pStyle w:val="ListBullet"/>
        <w:spacing w:after="50"/>
      </w:pPr>
      <w:r>
        <w:t>Order state machine: authorize → fraud check → supplier recheck → margin recheck → capture → fulfill.</w:t>
      </w:r>
    </w:p>
    <w:p>
      <w:pPr>
        <w:pStyle w:val="ListBullet"/>
        <w:spacing w:after="50"/>
      </w:pPr>
      <w:r>
        <w:t>Membership: free member flag, email/marketing state, $15 shipping threshold.</w:t>
      </w:r>
    </w:p>
    <w:p>
      <w:pPr>
        <w:pStyle w:val="ListBullet"/>
        <w:spacing w:after="50"/>
      </w:pPr>
      <w:r>
        <w:t>Inventory sync: price changes, stock changes, stale-offer expiry, discontinued offers.</w:t>
      </w:r>
    </w:p>
    <w:p>
      <w:pPr>
        <w:pStyle w:val="ListBullet"/>
        <w:spacing w:after="50"/>
      </w:pPr>
      <w:r>
        <w:t>Exception queue: out-of-stock, supplier timeout, price jump, payment failure, address problem, split order.</w:t>
      </w:r>
    </w:p>
    <w:p>
      <w:pPr>
        <w:pStyle w:val="ListBullet"/>
        <w:spacing w:after="50"/>
      </w:pPr>
      <w:r>
        <w:t>Audit data: supplier cost, supplier shipping, processor cost, selling price, expected/actual contribution.</w:t>
      </w:r>
    </w:p>
    <w:p>
      <w:pPr>
        <w:pStyle w:val="Heading2"/>
      </w:pPr>
      <w:r>
        <w:t>Catalog data model</w:t>
      </w:r>
    </w:p>
    <w:tbl>
      <w:tblPr>
        <w:tblStyle w:val="TableGrid"/>
        <w:tblW w:type="auto" w:w="0"/>
        <w:jc w:val="center"/>
        <w:tblLook w:firstColumn="1" w:firstRow="1" w:lastColumn="0" w:lastRow="0" w:noHBand="0" w:noVBand="1" w:val="04A0"/>
      </w:tblPr>
      <w:tblGrid>
        <w:gridCol w:w="5083"/>
        <w:gridCol w:w="5083"/>
      </w:tblGrid>
      <w:tr>
        <w:trPr>
          <w:cantSplit/>
          <w:tblHeader w:val="true"/>
        </w:trPr>
        <w:tc>
          <w:tcPr>
            <w:tcW w:type="dxa" w:w="2376"/>
            <w:vAlign w:val="center"/>
            <w:tcMar>
              <w:top w:w="70" w:type="dxa"/>
              <w:start w:w="90" w:type="dxa"/>
              <w:bottom w:w="70" w:type="dxa"/>
              <w:end w:w="90" w:type="dxa"/>
            </w:tcMar>
            <w:shd w:fill="24364B"/>
          </w:tcPr>
          <w:p>
            <w:pPr>
              <w:spacing w:after="0" w:before="0"/>
            </w:pPr>
            <w:r>
              <w:rPr>
                <w:rFonts w:ascii="Aptos" w:hAnsi="Aptos"/>
                <w:b/>
                <w:color w:val="FFFFFF"/>
                <w:sz w:val="16"/>
              </w:rPr>
              <w:t>Object</w:t>
            </w:r>
          </w:p>
        </w:tc>
        <w:tc>
          <w:tcPr>
            <w:tcW w:type="dxa" w:w="6912"/>
            <w:vAlign w:val="center"/>
            <w:tcMar>
              <w:top w:w="70" w:type="dxa"/>
              <w:start w:w="90" w:type="dxa"/>
              <w:bottom w:w="70" w:type="dxa"/>
              <w:end w:w="90" w:type="dxa"/>
            </w:tcMar>
            <w:shd w:fill="24364B"/>
          </w:tcPr>
          <w:p>
            <w:pPr>
              <w:spacing w:after="0" w:before="0"/>
            </w:pPr>
            <w:r>
              <w:rPr>
                <w:rFonts w:ascii="Aptos" w:hAnsi="Aptos"/>
                <w:b/>
                <w:color w:val="FFFFFF"/>
                <w:sz w:val="16"/>
              </w:rPr>
              <w:t>Purpose</w:t>
            </w:r>
          </w:p>
        </w:tc>
      </w:tr>
      <w:tr>
        <w:trPr>
          <w:cantSplit/>
        </w:trPr>
        <w:tc>
          <w:tcPr>
            <w:tcW w:type="dxa" w:w="2376"/>
            <w:vAlign w:val="center"/>
            <w:tcMar>
              <w:top w:w="70" w:type="dxa"/>
              <w:start w:w="90" w:type="dxa"/>
              <w:bottom w:w="70" w:type="dxa"/>
              <w:end w:w="90" w:type="dxa"/>
            </w:tcMar>
          </w:tcPr>
          <w:p>
            <w:pPr>
              <w:spacing w:after="0" w:before="0"/>
            </w:pPr>
            <w:r>
              <w:rPr>
                <w:rFonts w:ascii="Aptos" w:hAnsi="Aptos"/>
                <w:sz w:val="16"/>
              </w:rPr>
              <w:t>Work</w:t>
            </w:r>
          </w:p>
        </w:tc>
        <w:tc>
          <w:tcPr>
            <w:tcW w:type="dxa" w:w="6912"/>
            <w:vAlign w:val="center"/>
            <w:tcMar>
              <w:top w:w="70" w:type="dxa"/>
              <w:start w:w="90" w:type="dxa"/>
              <w:bottom w:w="70" w:type="dxa"/>
              <w:end w:w="90" w:type="dxa"/>
            </w:tcMar>
          </w:tcPr>
          <w:p>
            <w:pPr>
              <w:spacing w:after="0" w:before="0"/>
            </w:pPr>
            <w:r>
              <w:rPr>
                <w:rFonts w:ascii="Aptos" w:hAnsi="Aptos"/>
                <w:sz w:val="16"/>
              </w:rPr>
              <w:t>Customer-facing logical book: title, author, description, subjects.</w:t>
            </w:r>
          </w:p>
        </w:tc>
      </w:tr>
      <w:tr>
        <w:trPr>
          <w:cantSplit/>
        </w:trPr>
        <w:tc>
          <w:tcPr>
            <w:tcW w:type="dxa" w:w="2376"/>
            <w:vAlign w:val="center"/>
            <w:tcMar>
              <w:top w:w="70" w:type="dxa"/>
              <w:start w:w="90" w:type="dxa"/>
              <w:bottom w:w="70" w:type="dxa"/>
              <w:end w:w="90" w:type="dxa"/>
            </w:tcMar>
            <w:shd w:fill="F5F7F8"/>
          </w:tcPr>
          <w:p>
            <w:pPr>
              <w:spacing w:after="0" w:before="0"/>
            </w:pPr>
            <w:r>
              <w:rPr>
                <w:rFonts w:ascii="Aptos" w:hAnsi="Aptos"/>
                <w:sz w:val="16"/>
              </w:rPr>
              <w:t>Edition</w:t>
            </w:r>
          </w:p>
        </w:tc>
        <w:tc>
          <w:tcPr>
            <w:tcW w:type="dxa" w:w="6912"/>
            <w:vAlign w:val="center"/>
            <w:tcMar>
              <w:top w:w="70" w:type="dxa"/>
              <w:start w:w="90" w:type="dxa"/>
              <w:bottom w:w="70" w:type="dxa"/>
              <w:end w:w="90" w:type="dxa"/>
            </w:tcMar>
            <w:shd w:fill="F5F7F8"/>
          </w:tcPr>
          <w:p>
            <w:pPr>
              <w:spacing w:after="0" w:before="0"/>
            </w:pPr>
            <w:r>
              <w:rPr>
                <w:rFonts w:ascii="Aptos" w:hAnsi="Aptos"/>
                <w:sz w:val="16"/>
              </w:rPr>
              <w:t>Publisher/year/format/language/edition differences.</w:t>
            </w:r>
          </w:p>
        </w:tc>
      </w:tr>
      <w:tr>
        <w:trPr>
          <w:cantSplit/>
        </w:trPr>
        <w:tc>
          <w:tcPr>
            <w:tcW w:type="dxa" w:w="2376"/>
            <w:vAlign w:val="center"/>
            <w:tcMar>
              <w:top w:w="70" w:type="dxa"/>
              <w:start w:w="90" w:type="dxa"/>
              <w:bottom w:w="70" w:type="dxa"/>
              <w:end w:w="90" w:type="dxa"/>
            </w:tcMar>
          </w:tcPr>
          <w:p>
            <w:pPr>
              <w:spacing w:after="0" w:before="0"/>
            </w:pPr>
            <w:r>
              <w:rPr>
                <w:rFonts w:ascii="Aptos" w:hAnsi="Aptos"/>
                <w:sz w:val="16"/>
              </w:rPr>
              <w:t>ISBN</w:t>
            </w:r>
          </w:p>
        </w:tc>
        <w:tc>
          <w:tcPr>
            <w:tcW w:type="dxa" w:w="6912"/>
            <w:vAlign w:val="center"/>
            <w:tcMar>
              <w:top w:w="70" w:type="dxa"/>
              <w:start w:w="90" w:type="dxa"/>
              <w:bottom w:w="70" w:type="dxa"/>
              <w:end w:w="90" w:type="dxa"/>
            </w:tcMar>
          </w:tcPr>
          <w:p>
            <w:pPr>
              <w:spacing w:after="0" w:before="0"/>
            </w:pPr>
            <w:r>
              <w:rPr>
                <w:rFonts w:ascii="Aptos" w:hAnsi="Aptos"/>
                <w:sz w:val="16"/>
              </w:rPr>
              <w:t>Exact edition identifier used by suppliers.</w:t>
            </w:r>
          </w:p>
        </w:tc>
      </w:tr>
      <w:tr>
        <w:trPr>
          <w:cantSplit/>
        </w:trPr>
        <w:tc>
          <w:tcPr>
            <w:tcW w:type="dxa" w:w="2376"/>
            <w:vAlign w:val="center"/>
            <w:tcMar>
              <w:top w:w="70" w:type="dxa"/>
              <w:start w:w="90" w:type="dxa"/>
              <w:bottom w:w="70" w:type="dxa"/>
              <w:end w:w="90" w:type="dxa"/>
            </w:tcMar>
            <w:shd w:fill="F5F7F8"/>
          </w:tcPr>
          <w:p>
            <w:pPr>
              <w:spacing w:after="0" w:before="0"/>
            </w:pPr>
            <w:r>
              <w:rPr>
                <w:rFonts w:ascii="Aptos" w:hAnsi="Aptos"/>
                <w:sz w:val="16"/>
              </w:rPr>
              <w:t>Cover Variant</w:t>
            </w:r>
          </w:p>
        </w:tc>
        <w:tc>
          <w:tcPr>
            <w:tcW w:type="dxa" w:w="6912"/>
            <w:vAlign w:val="center"/>
            <w:tcMar>
              <w:top w:w="70" w:type="dxa"/>
              <w:start w:w="90" w:type="dxa"/>
              <w:bottom w:w="70" w:type="dxa"/>
              <w:end w:w="90" w:type="dxa"/>
            </w:tcMar>
            <w:shd w:fill="F5F7F8"/>
          </w:tcPr>
          <w:p>
            <w:pPr>
              <w:spacing w:after="0" w:before="0"/>
            </w:pPr>
            <w:r>
              <w:rPr>
                <w:rFonts w:ascii="Aptos" w:hAnsi="Aptos"/>
                <w:sz w:val="16"/>
              </w:rPr>
              <w:t>Optional customer-selectable cover/edition grouping.</w:t>
            </w:r>
          </w:p>
        </w:tc>
      </w:tr>
      <w:tr>
        <w:trPr>
          <w:cantSplit/>
        </w:trPr>
        <w:tc>
          <w:tcPr>
            <w:tcW w:type="dxa" w:w="2376"/>
            <w:vAlign w:val="center"/>
            <w:tcMar>
              <w:top w:w="70" w:type="dxa"/>
              <w:start w:w="90" w:type="dxa"/>
              <w:bottom w:w="70" w:type="dxa"/>
              <w:end w:w="90" w:type="dxa"/>
            </w:tcMar>
          </w:tcPr>
          <w:p>
            <w:pPr>
              <w:spacing w:after="0" w:before="0"/>
            </w:pPr>
            <w:r>
              <w:rPr>
                <w:rFonts w:ascii="Aptos" w:hAnsi="Aptos"/>
                <w:sz w:val="16"/>
              </w:rPr>
              <w:t>Supplier Offer</w:t>
            </w:r>
          </w:p>
        </w:tc>
        <w:tc>
          <w:tcPr>
            <w:tcW w:type="dxa" w:w="6912"/>
            <w:vAlign w:val="center"/>
            <w:tcMar>
              <w:top w:w="70" w:type="dxa"/>
              <w:start w:w="90" w:type="dxa"/>
              <w:bottom w:w="70" w:type="dxa"/>
              <w:end w:w="90" w:type="dxa"/>
            </w:tcMar>
          </w:tcPr>
          <w:p>
            <w:pPr>
              <w:spacing w:after="0" w:before="0"/>
            </w:pPr>
            <w:r>
              <w:rPr>
                <w:rFonts w:ascii="Aptos" w:hAnsi="Aptos"/>
                <w:sz w:val="16"/>
              </w:rPr>
              <w:t>Supplier, condition, stock, base price, shipping, timestamp.</w:t>
            </w:r>
          </w:p>
        </w:tc>
      </w:tr>
    </w:tbl>
    <w:tbl>
      <w:tblPr>
        <w:tblW w:type="auto" w:w="0"/>
        <w:jc w:val="center"/>
        <w:tblLayout w:type="autofit"/>
        <w:tblLook w:firstColumn="1" w:firstRow="1" w:lastColumn="0" w:lastRow="0" w:noHBand="0" w:noVBand="1" w:val="04A0"/>
      </w:tblPr>
      <w:tblGrid>
        <w:gridCol w:w="10166"/>
      </w:tblGrid>
      <w:tr>
        <w:trPr>
          <w:cantSplit/>
          <w:tblHeader w:val="true"/>
        </w:trPr>
        <w:tc>
          <w:tcPr>
            <w:tcW w:type="dxa" w:w="10166"/>
            <w:shd w:fill="EEF3F1"/>
            <w:tcMar>
              <w:top w:w="120" w:type="dxa"/>
              <w:start w:w="130" w:type="dxa"/>
              <w:bottom w:w="120" w:type="dxa"/>
              <w:end w:w="130" w:type="dxa"/>
            </w:tcMar>
          </w:tcPr>
          <w:p>
            <w:pPr>
              <w:pStyle w:val="Callout"/>
            </w:pPr>
            <w:r>
              <w:rPr>
                <w:b/>
                <w:color w:val="4D766E"/>
              </w:rPr>
              <w:t xml:space="preserve">Important: </w:t>
            </w:r>
            <w:r>
              <w:rPr>
                <w:b w:val="0"/>
                <w:color w:val="20262C"/>
              </w:rPr>
              <w:t>Do not make every ISBN a WooCommerce product. WooCommerce should represent the customer-facing work; the ISBN/offer universe stays in dedicated catalog tables.</w:t>
            </w:r>
          </w:p>
        </w:tc>
      </w:tr>
    </w:tbl>
    <w:p>
      <w:pPr>
        <w:spacing w:after="0"/>
      </w:pPr>
    </w:p>
    <w:p>
      <w:pPr>
        <w:pStyle w:val="Heading1"/>
      </w:pPr>
      <w:r>
        <w:t>3. Launch Business Rules</w:t>
      </w:r>
    </w:p>
    <w:p>
      <w:pPr>
        <w:pStyle w:val="Heading2"/>
      </w:pPr>
      <w:r>
        <w:t>Pricing</w:t>
      </w:r>
    </w:p>
    <w:p>
      <w:r>
        <w:rPr>
          <w:b/>
        </w:rPr>
        <w:t xml:space="preserve">Target product margin: 25%. </w:t>
      </w:r>
      <w:r>
        <w:t>Supplier shipping is treated as part of landed cost. Customer shipping is a separate checkout rule.</w:t>
      </w:r>
    </w:p>
    <w:p>
      <w:r>
        <w:t>Core target-price formula:</w:t>
      </w:r>
    </w:p>
    <w:p>
      <w:pPr>
        <w:jc w:val="center"/>
      </w:pPr>
      <w:r>
        <w:rPr>
          <w:b/>
          <w:color w:val="4D766E"/>
          <w:sz w:val="21"/>
        </w:rPr>
        <w:t>Retail Price = (Supplier Base + Supplier Shipping + Fixed Processing) ÷ (1 − Processing Rate − 0.25)</w:t>
      </w:r>
    </w:p>
    <w:p>
      <w:pPr>
        <w:pStyle w:val="ListBullet"/>
        <w:spacing w:after="50"/>
      </w:pPr>
      <w:r>
        <w:t>Round final prices to sensible retail endings (for example $X.99) only after the calculation.</w:t>
      </w:r>
    </w:p>
    <w:p>
      <w:pPr>
        <w:pStyle w:val="ListBullet"/>
        <w:spacing w:after="50"/>
      </w:pPr>
      <w:r>
        <w:t>At order time, rerun the profitability check using live supplier cost before capturing the customer's payment.</w:t>
      </w:r>
    </w:p>
    <w:p>
      <w:pPr>
        <w:pStyle w:val="ListBullet"/>
        <w:spacing w:after="50"/>
      </w:pPr>
      <w:r>
        <w:t>A small price cushion is acceptable, but stale supplier cost must never be trusted as final.</w:t>
      </w:r>
    </w:p>
    <w:p>
      <w:pPr>
        <w:pStyle w:val="ListBullet"/>
        <w:spacing w:after="50"/>
      </w:pPr>
      <w:r>
        <w:t>Store expected and actual contribution for every order line so the formula can be tuned from real results.</w:t>
      </w:r>
    </w:p>
    <w:p>
      <w:pPr>
        <w:pStyle w:val="Heading2"/>
      </w:pPr>
      <w:r>
        <w:t>Shipping and free membership</w:t>
      </w:r>
    </w:p>
    <w:tbl>
      <w:tblPr>
        <w:tblStyle w:val="TableGrid"/>
        <w:tblW w:type="auto" w:w="0"/>
        <w:jc w:val="center"/>
        <w:tblLook w:firstColumn="1" w:firstRow="1" w:lastColumn="0" w:lastRow="0" w:noHBand="0" w:noVBand="1" w:val="04A0"/>
      </w:tblPr>
      <w:tblGrid>
        <w:gridCol w:w="3389"/>
        <w:gridCol w:w="3389"/>
        <w:gridCol w:w="3389"/>
      </w:tblGrid>
      <w:tr>
        <w:trPr>
          <w:cantSplit/>
          <w:tblHeader w:val="true"/>
        </w:trPr>
        <w:tc>
          <w:tcPr>
            <w:tcW w:type="dxa" w:w="2880"/>
            <w:vAlign w:val="center"/>
            <w:tcMar>
              <w:top w:w="70" w:type="dxa"/>
              <w:start w:w="90" w:type="dxa"/>
              <w:bottom w:w="70" w:type="dxa"/>
              <w:end w:w="90" w:type="dxa"/>
            </w:tcMar>
            <w:shd w:fill="24364B"/>
          </w:tcPr>
          <w:p>
            <w:pPr>
              <w:spacing w:after="0" w:before="0"/>
            </w:pPr>
            <w:r>
              <w:rPr>
                <w:rFonts w:ascii="Aptos" w:hAnsi="Aptos"/>
                <w:b/>
                <w:color w:val="FFFFFF"/>
                <w:sz w:val="16"/>
              </w:rPr>
              <w:t>Customer</w:t>
            </w:r>
          </w:p>
        </w:tc>
        <w:tc>
          <w:tcPr>
            <w:tcW w:type="dxa" w:w="2376"/>
            <w:vAlign w:val="center"/>
            <w:tcMar>
              <w:top w:w="70" w:type="dxa"/>
              <w:start w:w="90" w:type="dxa"/>
              <w:bottom w:w="70" w:type="dxa"/>
              <w:end w:w="90" w:type="dxa"/>
            </w:tcMar>
            <w:shd w:fill="24364B"/>
          </w:tcPr>
          <w:p>
            <w:pPr>
              <w:spacing w:after="0" w:before="0"/>
            </w:pPr>
            <w:r>
              <w:rPr>
                <w:rFonts w:ascii="Aptos" w:hAnsi="Aptos"/>
                <w:b/>
                <w:color w:val="FFFFFF"/>
                <w:sz w:val="16"/>
              </w:rPr>
              <w:t>Free-shipping threshold</w:t>
            </w:r>
          </w:p>
        </w:tc>
        <w:tc>
          <w:tcPr>
            <w:tcW w:type="dxa" w:w="4032"/>
            <w:vAlign w:val="center"/>
            <w:tcMar>
              <w:top w:w="70" w:type="dxa"/>
              <w:start w:w="90" w:type="dxa"/>
              <w:bottom w:w="70" w:type="dxa"/>
              <w:end w:w="90" w:type="dxa"/>
            </w:tcMar>
            <w:shd w:fill="24364B"/>
          </w:tcPr>
          <w:p>
            <w:pPr>
              <w:spacing w:after="0" w:before="0"/>
            </w:pPr>
            <w:r>
              <w:rPr>
                <w:rFonts w:ascii="Aptos" w:hAnsi="Aptos"/>
                <w:b/>
                <w:color w:val="FFFFFF"/>
                <w:sz w:val="16"/>
              </w:rPr>
              <w:t>Launch purpose</w:t>
            </w:r>
          </w:p>
        </w:tc>
      </w:tr>
      <w:tr>
        <w:trPr>
          <w:cantSplit/>
        </w:trPr>
        <w:tc>
          <w:tcPr>
            <w:tcW w:type="dxa" w:w="2880"/>
            <w:vAlign w:val="center"/>
            <w:tcMar>
              <w:top w:w="70" w:type="dxa"/>
              <w:start w:w="90" w:type="dxa"/>
              <w:bottom w:w="70" w:type="dxa"/>
              <w:end w:w="90" w:type="dxa"/>
            </w:tcMar>
          </w:tcPr>
          <w:p>
            <w:pPr>
              <w:spacing w:after="0" w:before="0"/>
            </w:pPr>
            <w:r>
              <w:rPr>
                <w:rFonts w:ascii="Aptos" w:hAnsi="Aptos"/>
                <w:sz w:val="16"/>
              </w:rPr>
              <w:t>Guest / regular customer</w:t>
            </w:r>
          </w:p>
        </w:tc>
        <w:tc>
          <w:tcPr>
            <w:tcW w:type="dxa" w:w="2376"/>
            <w:vAlign w:val="center"/>
            <w:tcMar>
              <w:top w:w="70" w:type="dxa"/>
              <w:start w:w="90" w:type="dxa"/>
              <w:bottom w:w="70" w:type="dxa"/>
              <w:end w:w="90" w:type="dxa"/>
            </w:tcMar>
          </w:tcPr>
          <w:p>
            <w:pPr>
              <w:spacing w:after="0" w:before="0"/>
            </w:pPr>
            <w:r>
              <w:rPr>
                <w:rFonts w:ascii="Aptos" w:hAnsi="Aptos"/>
                <w:sz w:val="16"/>
              </w:rPr>
              <w:t>$25+</w:t>
            </w:r>
          </w:p>
        </w:tc>
        <w:tc>
          <w:tcPr>
            <w:tcW w:type="dxa" w:w="4032"/>
            <w:vAlign w:val="center"/>
            <w:tcMar>
              <w:top w:w="70" w:type="dxa"/>
              <w:start w:w="90" w:type="dxa"/>
              <w:bottom w:w="70" w:type="dxa"/>
              <w:end w:w="90" w:type="dxa"/>
            </w:tcMar>
          </w:tcPr>
          <w:p>
            <w:pPr>
              <w:spacing w:after="0" w:before="0"/>
            </w:pPr>
            <w:r>
              <w:rPr>
                <w:rFonts w:ascii="Aptos" w:hAnsi="Aptos"/>
                <w:sz w:val="16"/>
              </w:rPr>
              <w:t>Protect small-order margin; encourage larger baskets.</w:t>
            </w:r>
          </w:p>
        </w:tc>
      </w:tr>
      <w:tr>
        <w:trPr>
          <w:cantSplit/>
        </w:trPr>
        <w:tc>
          <w:tcPr>
            <w:tcW w:type="dxa" w:w="2880"/>
            <w:vAlign w:val="center"/>
            <w:tcMar>
              <w:top w:w="70" w:type="dxa"/>
              <w:start w:w="90" w:type="dxa"/>
              <w:bottom w:w="70" w:type="dxa"/>
              <w:end w:w="90" w:type="dxa"/>
            </w:tcMar>
            <w:shd w:fill="F5F7F8"/>
          </w:tcPr>
          <w:p>
            <w:pPr>
              <w:spacing w:after="0" w:before="0"/>
            </w:pPr>
            <w:r>
              <w:rPr>
                <w:rFonts w:ascii="Aptos" w:hAnsi="Aptos"/>
                <w:sz w:val="16"/>
              </w:rPr>
              <w:t>Free member</w:t>
            </w:r>
          </w:p>
        </w:tc>
        <w:tc>
          <w:tcPr>
            <w:tcW w:type="dxa" w:w="2376"/>
            <w:vAlign w:val="center"/>
            <w:tcMar>
              <w:top w:w="70" w:type="dxa"/>
              <w:start w:w="90" w:type="dxa"/>
              <w:bottom w:w="70" w:type="dxa"/>
              <w:end w:w="90" w:type="dxa"/>
            </w:tcMar>
            <w:shd w:fill="F5F7F8"/>
          </w:tcPr>
          <w:p>
            <w:pPr>
              <w:spacing w:after="0" w:before="0"/>
            </w:pPr>
            <w:r>
              <w:rPr>
                <w:rFonts w:ascii="Aptos" w:hAnsi="Aptos"/>
                <w:sz w:val="16"/>
              </w:rPr>
              <w:t>$15+</w:t>
            </w:r>
          </w:p>
        </w:tc>
        <w:tc>
          <w:tcPr>
            <w:tcW w:type="dxa" w:w="4032"/>
            <w:vAlign w:val="center"/>
            <w:tcMar>
              <w:top w:w="70" w:type="dxa"/>
              <w:start w:w="90" w:type="dxa"/>
              <w:bottom w:w="70" w:type="dxa"/>
              <w:end w:w="90" w:type="dxa"/>
            </w:tcMar>
            <w:shd w:fill="F5F7F8"/>
          </w:tcPr>
          <w:p>
            <w:pPr>
              <w:spacing w:after="0" w:before="0"/>
            </w:pPr>
            <w:r>
              <w:rPr>
                <w:rFonts w:ascii="Aptos" w:hAnsi="Aptos"/>
                <w:sz w:val="16"/>
              </w:rPr>
              <w:t>Email capture, retention, repeat purchase incentive.</w:t>
            </w:r>
          </w:p>
        </w:tc>
      </w:tr>
    </w:tbl>
    <w:p>
      <w:r>
        <w:rPr>
          <w:b/>
        </w:rPr>
        <w:t xml:space="preserve">Membership is free. </w:t>
      </w:r>
      <w:r>
        <w:t>No recurring billing, renewal engine, or paid membership extension is required. Implementation can be a verified member/account flag plus transparent marketing-email consent/preferences.</w:t>
      </w:r>
    </w:p>
    <w:p>
      <w:pPr>
        <w:pStyle w:val="Heading1"/>
      </w:pPr>
      <w:r>
        <w:t>4. Aggressive 5-Week Implementation Timeline</w:t>
      </w:r>
    </w:p>
    <w:tbl>
      <w:tblPr>
        <w:tblStyle w:val="TableGrid"/>
        <w:tblW w:type="auto" w:w="0"/>
        <w:jc w:val="center"/>
        <w:tblLook w:firstColumn="1" w:firstRow="1" w:lastColumn="0" w:lastRow="0" w:noHBand="0" w:noVBand="1" w:val="04A0"/>
      </w:tblPr>
      <w:tblGrid>
        <w:gridCol w:w="2541"/>
        <w:gridCol w:w="2541"/>
        <w:gridCol w:w="2541"/>
        <w:gridCol w:w="2541"/>
      </w:tblGrid>
      <w:tr>
        <w:trPr>
          <w:cantSplit/>
          <w:tblHeader w:val="true"/>
        </w:trPr>
        <w:tc>
          <w:tcPr>
            <w:tcW w:type="dxa" w:w="936"/>
            <w:vAlign w:val="center"/>
            <w:tcMar>
              <w:top w:w="70" w:type="dxa"/>
              <w:start w:w="90" w:type="dxa"/>
              <w:bottom w:w="70" w:type="dxa"/>
              <w:end w:w="90" w:type="dxa"/>
            </w:tcMar>
            <w:shd w:fill="24364B"/>
          </w:tcPr>
          <w:p>
            <w:pPr>
              <w:spacing w:after="0" w:before="0"/>
            </w:pPr>
            <w:r>
              <w:rPr>
                <w:rFonts w:ascii="Aptos" w:hAnsi="Aptos"/>
                <w:b/>
                <w:color w:val="FFFFFF"/>
                <w:sz w:val="16"/>
              </w:rPr>
              <w:t>Week</w:t>
            </w:r>
          </w:p>
        </w:tc>
        <w:tc>
          <w:tcPr>
            <w:tcW w:type="dxa" w:w="1800"/>
            <w:vAlign w:val="center"/>
            <w:tcMar>
              <w:top w:w="70" w:type="dxa"/>
              <w:start w:w="90" w:type="dxa"/>
              <w:bottom w:w="70" w:type="dxa"/>
              <w:end w:w="90" w:type="dxa"/>
            </w:tcMar>
            <w:shd w:fill="24364B"/>
          </w:tcPr>
          <w:p>
            <w:pPr>
              <w:spacing w:after="0" w:before="0"/>
            </w:pPr>
            <w:r>
              <w:rPr>
                <w:rFonts w:ascii="Aptos" w:hAnsi="Aptos"/>
                <w:b/>
                <w:color w:val="FFFFFF"/>
                <w:sz w:val="16"/>
              </w:rPr>
              <w:t>Primary goal</w:t>
            </w:r>
          </w:p>
        </w:tc>
        <w:tc>
          <w:tcPr>
            <w:tcW w:type="dxa" w:w="5040"/>
            <w:vAlign w:val="center"/>
            <w:tcMar>
              <w:top w:w="70" w:type="dxa"/>
              <w:start w:w="90" w:type="dxa"/>
              <w:bottom w:w="70" w:type="dxa"/>
              <w:end w:w="90" w:type="dxa"/>
            </w:tcMar>
            <w:shd w:fill="24364B"/>
          </w:tcPr>
          <w:p>
            <w:pPr>
              <w:spacing w:after="0" w:before="0"/>
            </w:pPr>
            <w:r>
              <w:rPr>
                <w:rFonts w:ascii="Aptos" w:hAnsi="Aptos"/>
                <w:b/>
                <w:color w:val="FFFFFF"/>
                <w:sz w:val="16"/>
              </w:rPr>
              <w:t>Deliverables</w:t>
            </w:r>
          </w:p>
        </w:tc>
        <w:tc>
          <w:tcPr>
            <w:tcW w:type="dxa" w:w="2448"/>
            <w:vAlign w:val="center"/>
            <w:tcMar>
              <w:top w:w="70" w:type="dxa"/>
              <w:start w:w="90" w:type="dxa"/>
              <w:bottom w:w="70" w:type="dxa"/>
              <w:end w:w="90" w:type="dxa"/>
            </w:tcMar>
            <w:shd w:fill="24364B"/>
          </w:tcPr>
          <w:p>
            <w:pPr>
              <w:spacing w:after="0" w:before="0"/>
            </w:pPr>
            <w:r>
              <w:rPr>
                <w:rFonts w:ascii="Aptos" w:hAnsi="Aptos"/>
                <w:b/>
                <w:color w:val="FFFFFF"/>
                <w:sz w:val="16"/>
              </w:rPr>
              <w:t>Exit gate</w:t>
            </w:r>
          </w:p>
        </w:tc>
      </w:tr>
      <w:tr>
        <w:trPr>
          <w:cantSplit/>
        </w:trPr>
        <w:tc>
          <w:tcPr>
            <w:tcW w:type="dxa" w:w="936"/>
            <w:vAlign w:val="center"/>
            <w:tcMar>
              <w:top w:w="70" w:type="dxa"/>
              <w:start w:w="90" w:type="dxa"/>
              <w:bottom w:w="70" w:type="dxa"/>
              <w:end w:w="90" w:type="dxa"/>
            </w:tcMar>
          </w:tcPr>
          <w:p>
            <w:pPr>
              <w:spacing w:after="0" w:before="0"/>
            </w:pPr>
            <w:r>
              <w:rPr>
                <w:rFonts w:ascii="Aptos" w:hAnsi="Aptos"/>
                <w:sz w:val="16"/>
              </w:rPr>
              <w:t>Week 1</w:t>
            </w:r>
          </w:p>
        </w:tc>
        <w:tc>
          <w:tcPr>
            <w:tcW w:type="dxa" w:w="1800"/>
            <w:vAlign w:val="center"/>
            <w:tcMar>
              <w:top w:w="70" w:type="dxa"/>
              <w:start w:w="90" w:type="dxa"/>
              <w:bottom w:w="70" w:type="dxa"/>
              <w:end w:w="90" w:type="dxa"/>
            </w:tcMar>
          </w:tcPr>
          <w:p>
            <w:pPr>
              <w:spacing w:after="0" w:before="0"/>
            </w:pPr>
            <w:r>
              <w:rPr>
                <w:rFonts w:ascii="Aptos" w:hAnsi="Aptos"/>
                <w:sz w:val="16"/>
              </w:rPr>
              <w:t>Infrastructure + visual shell</w:t>
            </w:r>
          </w:p>
        </w:tc>
        <w:tc>
          <w:tcPr>
            <w:tcW w:type="dxa" w:w="5040"/>
            <w:vAlign w:val="center"/>
            <w:tcMar>
              <w:top w:w="70" w:type="dxa"/>
              <w:start w:w="90" w:type="dxa"/>
              <w:bottom w:w="70" w:type="dxa"/>
              <w:end w:w="90" w:type="dxa"/>
            </w:tcMar>
          </w:tcPr>
          <w:p>
            <w:pPr>
              <w:spacing w:after="0" w:before="0"/>
            </w:pPr>
            <w:r>
              <w:rPr>
                <w:rFonts w:ascii="Aptos" w:hAnsi="Aptos"/>
                <w:sz w:val="16"/>
              </w:rPr>
              <w:t>Git repo; staging VPS; production skeleton; MariaDB; Redis; backups; system cron; WooCommerce; HPOS; Blocksy Book Store; noindex staging; secrets strategy.</w:t>
            </w:r>
          </w:p>
        </w:tc>
        <w:tc>
          <w:tcPr>
            <w:tcW w:type="dxa" w:w="2448"/>
            <w:vAlign w:val="center"/>
            <w:tcMar>
              <w:top w:w="70" w:type="dxa"/>
              <w:start w:w="90" w:type="dxa"/>
              <w:bottom w:w="70" w:type="dxa"/>
              <w:end w:w="90" w:type="dxa"/>
            </w:tcMar>
          </w:tcPr>
          <w:p>
            <w:pPr>
              <w:spacing w:after="0" w:before="0"/>
            </w:pPr>
            <w:r>
              <w:rPr>
                <w:rFonts w:ascii="Aptos" w:hAnsi="Aptos"/>
                <w:sz w:val="16"/>
              </w:rPr>
              <w:t>Fresh deployment reproducible from Git; staging cannot send real mail or charge real cards.</w:t>
            </w:r>
          </w:p>
        </w:tc>
      </w:tr>
      <w:tr>
        <w:trPr>
          <w:cantSplit/>
        </w:trPr>
        <w:tc>
          <w:tcPr>
            <w:tcW w:type="dxa" w:w="936"/>
            <w:vAlign w:val="center"/>
            <w:tcMar>
              <w:top w:w="70" w:type="dxa"/>
              <w:start w:w="90" w:type="dxa"/>
              <w:bottom w:w="70" w:type="dxa"/>
              <w:end w:w="90" w:type="dxa"/>
            </w:tcMar>
            <w:shd w:fill="F5F7F8"/>
          </w:tcPr>
          <w:p>
            <w:pPr>
              <w:spacing w:after="0" w:before="0"/>
            </w:pPr>
            <w:r>
              <w:rPr>
                <w:rFonts w:ascii="Aptos" w:hAnsi="Aptos"/>
                <w:sz w:val="16"/>
              </w:rPr>
              <w:t>Week 2</w:t>
            </w:r>
          </w:p>
        </w:tc>
        <w:tc>
          <w:tcPr>
            <w:tcW w:type="dxa" w:w="1800"/>
            <w:vAlign w:val="center"/>
            <w:tcMar>
              <w:top w:w="70" w:type="dxa"/>
              <w:start w:w="90" w:type="dxa"/>
              <w:bottom w:w="70" w:type="dxa"/>
              <w:end w:w="90" w:type="dxa"/>
            </w:tcMar>
            <w:shd w:fill="F5F7F8"/>
          </w:tcPr>
          <w:p>
            <w:pPr>
              <w:spacing w:after="0" w:before="0"/>
            </w:pPr>
            <w:r>
              <w:rPr>
                <w:rFonts w:ascii="Aptos" w:hAnsi="Aptos"/>
                <w:sz w:val="16"/>
              </w:rPr>
              <w:t>Catalog + storefront</w:t>
            </w:r>
          </w:p>
        </w:tc>
        <w:tc>
          <w:tcPr>
            <w:tcW w:type="dxa" w:w="5040"/>
            <w:vAlign w:val="center"/>
            <w:tcMar>
              <w:top w:w="70" w:type="dxa"/>
              <w:start w:w="90" w:type="dxa"/>
              <w:bottom w:w="70" w:type="dxa"/>
              <w:end w:w="90" w:type="dxa"/>
            </w:tcMar>
            <w:shd w:fill="F5F7F8"/>
          </w:tcPr>
          <w:p>
            <w:pPr>
              <w:spacing w:after="0" w:before="0"/>
            </w:pPr>
            <w:r>
              <w:rPr>
                <w:rFonts w:ascii="Aptos" w:hAnsi="Aptos"/>
                <w:sz w:val="16"/>
              </w:rPr>
              <w:t>Custom plugin scaffold; Work/Edition/ISBN/Offer schema; Gutenberg importer; synthetic costs/stock/conditions; search/filter UX; cover variants; 25% pricing; $25/$15 shipping logic.</w:t>
            </w:r>
          </w:p>
        </w:tc>
        <w:tc>
          <w:tcPr>
            <w:tcW w:type="dxa" w:w="2448"/>
            <w:vAlign w:val="center"/>
            <w:tcMar>
              <w:top w:w="70" w:type="dxa"/>
              <w:start w:w="90" w:type="dxa"/>
              <w:bottom w:w="70" w:type="dxa"/>
              <w:end w:w="90" w:type="dxa"/>
            </w:tcMar>
            <w:shd w:fill="F5F7F8"/>
          </w:tcPr>
          <w:p>
            <w:pPr>
              <w:spacing w:after="0" w:before="0"/>
            </w:pPr>
            <w:r>
              <w:rPr>
                <w:rFonts w:ascii="Aptos" w:hAnsi="Aptos"/>
                <w:sz w:val="16"/>
              </w:rPr>
              <w:t>10k+ staged titles browse/search correctly; no duplicate-product explosion.</w:t>
            </w:r>
          </w:p>
        </w:tc>
      </w:tr>
      <w:tr>
        <w:trPr>
          <w:cantSplit/>
        </w:trPr>
        <w:tc>
          <w:tcPr>
            <w:tcW w:type="dxa" w:w="936"/>
            <w:vAlign w:val="center"/>
            <w:tcMar>
              <w:top w:w="70" w:type="dxa"/>
              <w:start w:w="90" w:type="dxa"/>
              <w:bottom w:w="70" w:type="dxa"/>
              <w:end w:w="90" w:type="dxa"/>
            </w:tcMar>
          </w:tcPr>
          <w:p>
            <w:pPr>
              <w:spacing w:after="0" w:before="0"/>
            </w:pPr>
            <w:r>
              <w:rPr>
                <w:rFonts w:ascii="Aptos" w:hAnsi="Aptos"/>
                <w:sz w:val="16"/>
              </w:rPr>
              <w:t>Week 3</w:t>
            </w:r>
          </w:p>
        </w:tc>
        <w:tc>
          <w:tcPr>
            <w:tcW w:type="dxa" w:w="1800"/>
            <w:vAlign w:val="center"/>
            <w:tcMar>
              <w:top w:w="70" w:type="dxa"/>
              <w:start w:w="90" w:type="dxa"/>
              <w:bottom w:w="70" w:type="dxa"/>
              <w:end w:w="90" w:type="dxa"/>
            </w:tcMar>
          </w:tcPr>
          <w:p>
            <w:pPr>
              <w:spacing w:after="0" w:before="0"/>
            </w:pPr>
            <w:r>
              <w:rPr>
                <w:rFonts w:ascii="Aptos" w:hAnsi="Aptos"/>
                <w:sz w:val="16"/>
              </w:rPr>
              <w:t>Checkout + order engine</w:t>
            </w:r>
          </w:p>
        </w:tc>
        <w:tc>
          <w:tcPr>
            <w:tcW w:type="dxa" w:w="5040"/>
            <w:vAlign w:val="center"/>
            <w:tcMar>
              <w:top w:w="70" w:type="dxa"/>
              <w:start w:w="90" w:type="dxa"/>
              <w:bottom w:w="70" w:type="dxa"/>
              <w:end w:w="90" w:type="dxa"/>
            </w:tcMar>
          </w:tcPr>
          <w:p>
            <w:pPr>
              <w:spacing w:after="0" w:before="0"/>
            </w:pPr>
            <w:r>
              <w:rPr>
                <w:rFonts w:ascii="Aptos" w:hAnsi="Aptos"/>
                <w:sz w:val="16"/>
              </w:rPr>
              <w:t>Helcim sandbox; authorization/capture flow; fraud rules; order state machine; background jobs; exception queue; refund path; transactional-email templates in mail catcher.</w:t>
            </w:r>
          </w:p>
        </w:tc>
        <w:tc>
          <w:tcPr>
            <w:tcW w:type="dxa" w:w="2448"/>
            <w:vAlign w:val="center"/>
            <w:tcMar>
              <w:top w:w="70" w:type="dxa"/>
              <w:start w:w="90" w:type="dxa"/>
              <w:bottom w:w="70" w:type="dxa"/>
              <w:end w:w="90" w:type="dxa"/>
            </w:tcMar>
          </w:tcPr>
          <w:p>
            <w:pPr>
              <w:spacing w:after="0" w:before="0"/>
            </w:pPr>
            <w:r>
              <w:rPr>
                <w:rFonts w:ascii="Aptos" w:hAnsi="Aptos"/>
                <w:sz w:val="16"/>
              </w:rPr>
              <w:t>End-to-end fake orders complete without manual DB edits; failures land in review queue.</w:t>
            </w:r>
          </w:p>
        </w:tc>
      </w:tr>
      <w:tr>
        <w:trPr>
          <w:cantSplit/>
        </w:trPr>
        <w:tc>
          <w:tcPr>
            <w:tcW w:type="dxa" w:w="936"/>
            <w:vAlign w:val="center"/>
            <w:tcMar>
              <w:top w:w="70" w:type="dxa"/>
              <w:start w:w="90" w:type="dxa"/>
              <w:bottom w:w="70" w:type="dxa"/>
              <w:end w:w="90" w:type="dxa"/>
            </w:tcMar>
            <w:shd w:fill="F5F7F8"/>
          </w:tcPr>
          <w:p>
            <w:pPr>
              <w:spacing w:after="0" w:before="0"/>
            </w:pPr>
            <w:r>
              <w:rPr>
                <w:rFonts w:ascii="Aptos" w:hAnsi="Aptos"/>
                <w:sz w:val="16"/>
              </w:rPr>
              <w:t>Week 4</w:t>
            </w:r>
          </w:p>
        </w:tc>
        <w:tc>
          <w:tcPr>
            <w:tcW w:type="dxa" w:w="1800"/>
            <w:vAlign w:val="center"/>
            <w:tcMar>
              <w:top w:w="70" w:type="dxa"/>
              <w:start w:w="90" w:type="dxa"/>
              <w:bottom w:w="70" w:type="dxa"/>
              <w:end w:w="90" w:type="dxa"/>
            </w:tcMar>
            <w:shd w:fill="F5F7F8"/>
          </w:tcPr>
          <w:p>
            <w:pPr>
              <w:spacing w:after="0" w:before="0"/>
            </w:pPr>
            <w:r>
              <w:rPr>
                <w:rFonts w:ascii="Aptos" w:hAnsi="Aptos"/>
                <w:sz w:val="16"/>
              </w:rPr>
              <w:t>Live suppliers + operations</w:t>
            </w:r>
          </w:p>
        </w:tc>
        <w:tc>
          <w:tcPr>
            <w:tcW w:type="dxa" w:w="5040"/>
            <w:vAlign w:val="center"/>
            <w:tcMar>
              <w:top w:w="70" w:type="dxa"/>
              <w:start w:w="90" w:type="dxa"/>
              <w:bottom w:w="70" w:type="dxa"/>
              <w:end w:w="90" w:type="dxa"/>
            </w:tcMar>
            <w:shd w:fill="F5F7F8"/>
          </w:tcPr>
          <w:p>
            <w:pPr>
              <w:spacing w:after="0" w:before="0"/>
            </w:pPr>
            <w:r>
              <w:rPr>
                <w:rFonts w:ascii="Aptos" w:hAnsi="Aptos"/>
                <w:sz w:val="16"/>
              </w:rPr>
              <w:t>BooksRun credentials/API/AutoBuy; FTP feed if available; live price recheck; Ingram account/feed/order path; production email; tax/shipping/legal pages; monitoring and alerts.</w:t>
            </w:r>
          </w:p>
        </w:tc>
        <w:tc>
          <w:tcPr>
            <w:tcW w:type="dxa" w:w="2448"/>
            <w:vAlign w:val="center"/>
            <w:tcMar>
              <w:top w:w="70" w:type="dxa"/>
              <w:start w:w="90" w:type="dxa"/>
              <w:bottom w:w="70" w:type="dxa"/>
              <w:end w:w="90" w:type="dxa"/>
            </w:tcMar>
            <w:shd w:fill="F5F7F8"/>
          </w:tcPr>
          <w:p>
            <w:pPr>
              <w:spacing w:after="0" w:before="0"/>
            </w:pPr>
            <w:r>
              <w:rPr>
                <w:rFonts w:ascii="Aptos" w:hAnsi="Aptos"/>
                <w:sz w:val="16"/>
              </w:rPr>
              <w:t>Production-like orders pass using supplier test/controlled orders; costs and tracking reconcile.</w:t>
            </w:r>
          </w:p>
        </w:tc>
      </w:tr>
      <w:tr>
        <w:trPr>
          <w:cantSplit/>
        </w:trPr>
        <w:tc>
          <w:tcPr>
            <w:tcW w:type="dxa" w:w="936"/>
            <w:vAlign w:val="center"/>
            <w:tcMar>
              <w:top w:w="70" w:type="dxa"/>
              <w:start w:w="90" w:type="dxa"/>
              <w:bottom w:w="70" w:type="dxa"/>
              <w:end w:w="90" w:type="dxa"/>
            </w:tcMar>
          </w:tcPr>
          <w:p>
            <w:pPr>
              <w:spacing w:after="0" w:before="0"/>
            </w:pPr>
            <w:r>
              <w:rPr>
                <w:rFonts w:ascii="Aptos" w:hAnsi="Aptos"/>
                <w:sz w:val="16"/>
              </w:rPr>
              <w:t>Week 5</w:t>
            </w:r>
          </w:p>
        </w:tc>
        <w:tc>
          <w:tcPr>
            <w:tcW w:type="dxa" w:w="1800"/>
            <w:vAlign w:val="center"/>
            <w:tcMar>
              <w:top w:w="70" w:type="dxa"/>
              <w:start w:w="90" w:type="dxa"/>
              <w:bottom w:w="70" w:type="dxa"/>
              <w:end w:w="90" w:type="dxa"/>
            </w:tcMar>
          </w:tcPr>
          <w:p>
            <w:pPr>
              <w:spacing w:after="0" w:before="0"/>
            </w:pPr>
            <w:r>
              <w:rPr>
                <w:rFonts w:ascii="Aptos" w:hAnsi="Aptos"/>
                <w:sz w:val="16"/>
              </w:rPr>
              <w:t>Soft launch + hardening</w:t>
            </w:r>
          </w:p>
        </w:tc>
        <w:tc>
          <w:tcPr>
            <w:tcW w:type="dxa" w:w="5040"/>
            <w:vAlign w:val="center"/>
            <w:tcMar>
              <w:top w:w="70" w:type="dxa"/>
              <w:start w:w="90" w:type="dxa"/>
              <w:bottom w:w="70" w:type="dxa"/>
              <w:end w:w="90" w:type="dxa"/>
            </w:tcMar>
          </w:tcPr>
          <w:p>
            <w:pPr>
              <w:spacing w:after="0" w:before="0"/>
            </w:pPr>
            <w:r>
              <w:rPr>
                <w:rFonts w:ascii="Aptos" w:hAnsi="Aptos"/>
                <w:sz w:val="16"/>
              </w:rPr>
              <w:t>Small catalog release; controlled real purchases; mobile/accessibility checks; backup restore test; load test; analytics; member signup; support workflow; launch checklist.</w:t>
            </w:r>
          </w:p>
        </w:tc>
        <w:tc>
          <w:tcPr>
            <w:tcW w:type="dxa" w:w="2448"/>
            <w:vAlign w:val="center"/>
            <w:tcMar>
              <w:top w:w="70" w:type="dxa"/>
              <w:start w:w="90" w:type="dxa"/>
              <w:bottom w:w="70" w:type="dxa"/>
              <w:end w:w="90" w:type="dxa"/>
            </w:tcMar>
          </w:tcPr>
          <w:p>
            <w:pPr>
              <w:spacing w:after="0" w:before="0"/>
            </w:pPr>
            <w:r>
              <w:rPr>
                <w:rFonts w:ascii="Aptos" w:hAnsi="Aptos"/>
                <w:sz w:val="16"/>
              </w:rPr>
              <w:t>No critical failures across payment, fulfillment, email, refund, backup, monitoring, and stock-price recheck.</w:t>
            </w:r>
          </w:p>
        </w:tc>
      </w:tr>
      <w:tr>
        <w:trPr>
          <w:cantSplit/>
        </w:trPr>
        <w:tc>
          <w:tcPr>
            <w:tcW w:type="dxa" w:w="936"/>
            <w:vAlign w:val="center"/>
            <w:tcMar>
              <w:top w:w="70" w:type="dxa"/>
              <w:start w:w="90" w:type="dxa"/>
              <w:bottom w:w="70" w:type="dxa"/>
              <w:end w:w="90" w:type="dxa"/>
            </w:tcMar>
            <w:shd w:fill="F5F7F8"/>
          </w:tcPr>
          <w:p>
            <w:pPr>
              <w:spacing w:after="0" w:before="0"/>
            </w:pPr>
            <w:r>
              <w:rPr>
                <w:rFonts w:ascii="Aptos" w:hAnsi="Aptos"/>
                <w:sz w:val="16"/>
              </w:rPr>
              <w:t>Week 6 (buffer)</w:t>
            </w:r>
          </w:p>
        </w:tc>
        <w:tc>
          <w:tcPr>
            <w:tcW w:type="dxa" w:w="1800"/>
            <w:vAlign w:val="center"/>
            <w:tcMar>
              <w:top w:w="70" w:type="dxa"/>
              <w:start w:w="90" w:type="dxa"/>
              <w:bottom w:w="70" w:type="dxa"/>
              <w:end w:w="90" w:type="dxa"/>
            </w:tcMar>
            <w:shd w:fill="F5F7F8"/>
          </w:tcPr>
          <w:p>
            <w:pPr>
              <w:spacing w:after="0" w:before="0"/>
            </w:pPr>
            <w:r>
              <w:rPr>
                <w:rFonts w:ascii="Aptos" w:hAnsi="Aptos"/>
                <w:sz w:val="16"/>
              </w:rPr>
              <w:t>Contingency / scale-up</w:t>
            </w:r>
          </w:p>
        </w:tc>
        <w:tc>
          <w:tcPr>
            <w:tcW w:type="dxa" w:w="5040"/>
            <w:vAlign w:val="center"/>
            <w:tcMar>
              <w:top w:w="70" w:type="dxa"/>
              <w:start w:w="90" w:type="dxa"/>
              <w:bottom w:w="70" w:type="dxa"/>
              <w:end w:w="90" w:type="dxa"/>
            </w:tcMar>
            <w:shd w:fill="F5F7F8"/>
          </w:tcPr>
          <w:p>
            <w:pPr>
              <w:spacing w:after="0" w:before="0"/>
            </w:pPr>
            <w:r>
              <w:rPr>
                <w:rFonts w:ascii="Aptos" w:hAnsi="Aptos"/>
                <w:sz w:val="16"/>
              </w:rPr>
              <w:t>Supplier onboarding delays, edge-case fixes, search tuning, catalog expansion, marketing feed preparation.</w:t>
            </w:r>
          </w:p>
        </w:tc>
        <w:tc>
          <w:tcPr>
            <w:tcW w:type="dxa" w:w="2448"/>
            <w:vAlign w:val="center"/>
            <w:tcMar>
              <w:top w:w="70" w:type="dxa"/>
              <w:start w:w="90" w:type="dxa"/>
              <w:bottom w:w="70" w:type="dxa"/>
              <w:end w:w="90" w:type="dxa"/>
            </w:tcMar>
            <w:shd w:fill="F5F7F8"/>
          </w:tcPr>
          <w:p>
            <w:pPr>
              <w:spacing w:after="0" w:before="0"/>
            </w:pPr>
            <w:r>
              <w:rPr>
                <w:rFonts w:ascii="Aptos" w:hAnsi="Aptos"/>
                <w:sz w:val="16"/>
              </w:rPr>
              <w:t>Use only if needed; otherwise begin catalog/traffic ramp.</w:t>
            </w:r>
          </w:p>
        </w:tc>
      </w:tr>
    </w:tbl>
    <w:p>
      <w:pPr>
        <w:pStyle w:val="Heading1"/>
      </w:pPr>
      <w:r>
        <w:t>5. Pre-Launch Work Breakdown</w:t>
      </w:r>
    </w:p>
    <w:p>
      <w:pPr>
        <w:pStyle w:val="Heading2"/>
      </w:pPr>
      <w:r>
        <w:t>Infrastructure &amp; deployment</w:t>
      </w:r>
    </w:p>
    <w:p>
      <w:pPr>
        <w:pStyle w:val="ListBullet"/>
        <w:spacing w:after="50"/>
      </w:pPr>
      <w:r>
        <w:t>Provision separate staging and production environments.</w:t>
      </w:r>
    </w:p>
    <w:p>
      <w:pPr>
        <w:pStyle w:val="ListBullet"/>
        <w:spacing w:after="50"/>
      </w:pPr>
      <w:r>
        <w:t>Run MariaDB and Redis as separate services from WordPress/PHP, even if they share the same physical VPS initially.</w:t>
      </w:r>
    </w:p>
    <w:p>
      <w:pPr>
        <w:pStyle w:val="ListBullet"/>
        <w:spacing w:after="50"/>
      </w:pPr>
      <w:r>
        <w:t>Configure Caddy or Nginx, TLS, PHP-FPM, sensible upload/body limits, and checkout cache bypasses.</w:t>
      </w:r>
    </w:p>
    <w:p>
      <w:pPr>
        <w:pStyle w:val="ListBullet"/>
        <w:spacing w:after="50"/>
      </w:pPr>
      <w:r>
        <w:t>Use system cron to drive Action Scheduler/WP-Cron reliably.</w:t>
      </w:r>
    </w:p>
    <w:p>
      <w:pPr>
        <w:pStyle w:val="ListBullet"/>
        <w:spacing w:after="50"/>
      </w:pPr>
      <w:r>
        <w:t>Keep production secrets outside Git; maintain separate staging and production environment files.</w:t>
      </w:r>
    </w:p>
    <w:p>
      <w:pPr>
        <w:pStyle w:val="ListBullet"/>
        <w:spacing w:after="50"/>
      </w:pPr>
      <w:r>
        <w:t>Automate deployment from the same Git repository to staging, then production.</w:t>
      </w:r>
    </w:p>
    <w:p>
      <w:pPr>
        <w:pStyle w:val="ListBullet"/>
        <w:spacing w:after="50"/>
      </w:pPr>
      <w:r>
        <w:t>Create off-host database and uploads backups; perform a full restore into staging before launch.</w:t>
      </w:r>
    </w:p>
    <w:p>
      <w:pPr>
        <w:pStyle w:val="Heading2"/>
      </w:pPr>
      <w:r>
        <w:t>Storefront &amp; UX</w:t>
      </w:r>
    </w:p>
    <w:p>
      <w:pPr>
        <w:pStyle w:val="ListBullet"/>
        <w:spacing w:after="50"/>
      </w:pPr>
      <w:r>
        <w:t>Import Blocksy Book Store starter on a clean site; prefer Gutenberg over Elementor unless a real blocker appears.</w:t>
      </w:r>
    </w:p>
    <w:p>
      <w:pPr>
        <w:pStyle w:val="ListBullet"/>
        <w:spacing w:after="50"/>
      </w:pPr>
      <w:r>
        <w:t>Define one restrained brand palette, two fonts maximum, one button style, and consistent spacing.</w:t>
      </w:r>
    </w:p>
    <w:p>
      <w:pPr>
        <w:pStyle w:val="ListBullet"/>
        <w:spacing w:after="50"/>
      </w:pPr>
      <w:r>
        <w:t>Make mobile search prominent and test checkout one-handed on a phone.</w:t>
      </w:r>
    </w:p>
    <w:p>
      <w:pPr>
        <w:pStyle w:val="ListBullet"/>
        <w:spacing w:after="50"/>
      </w:pPr>
      <w:r>
        <w:t>Implement work-level product pages with edition/condition choices rather than ISBN-level duplicate listings.</w:t>
      </w:r>
    </w:p>
    <w:p>
      <w:pPr>
        <w:pStyle w:val="ListBullet"/>
        <w:spacing w:after="50"/>
      </w:pPr>
      <w:r>
        <w:t>Display used-book condition definitions clearly.</w:t>
      </w:r>
    </w:p>
    <w:p>
      <w:pPr>
        <w:pStyle w:val="ListBullet"/>
        <w:spacing w:after="50"/>
      </w:pPr>
      <w:r>
        <w:t>Show $25 free shipping and $15 member free shipping consistently in cart/checkout.</w:t>
      </w:r>
    </w:p>
    <w:p>
      <w:pPr>
        <w:pStyle w:val="Heading2"/>
      </w:pPr>
      <w:r>
        <w:t>Catalog &amp; search</w:t>
      </w:r>
    </w:p>
    <w:p>
      <w:pPr>
        <w:pStyle w:val="ListBullet"/>
        <w:spacing w:after="50"/>
      </w:pPr>
      <w:r>
        <w:t>Import 10k Gutenberg works first, then scale staging to 50k+ to expose performance problems.</w:t>
      </w:r>
    </w:p>
    <w:p>
      <w:pPr>
        <w:pStyle w:val="ListBullet"/>
        <w:spacing w:after="50"/>
      </w:pPr>
      <w:r>
        <w:t>Generate synthetic supplier offers with random stock, condition, price, shipping, and deliberate failures.</w:t>
      </w:r>
    </w:p>
    <w:p>
      <w:pPr>
        <w:pStyle w:val="ListBullet"/>
        <w:spacing w:after="50"/>
      </w:pPr>
      <w:r>
        <w:t>Normalize author, title, language, series/volume, and ISBN-10/13 mappings.</w:t>
      </w:r>
    </w:p>
    <w:p>
      <w:pPr>
        <w:pStyle w:val="ListBullet"/>
        <w:spacing w:after="50"/>
      </w:pPr>
      <w:r>
        <w:t>Build conservative work-grouping logic; do not merge revised, illustrated, abridged, translated, large-print, textbook-edition, or materially different versions blindly.</w:t>
      </w:r>
    </w:p>
    <w:p>
      <w:pPr>
        <w:pStyle w:val="ListBullet"/>
        <w:spacing w:after="50"/>
      </w:pPr>
      <w:r>
        <w:t>Support cover/edition choices only when the supplier metadata makes the choice defensible.</w:t>
      </w:r>
    </w:p>
    <w:p>
      <w:pPr>
        <w:pStyle w:val="ListBullet"/>
        <w:spacing w:after="50"/>
      </w:pPr>
      <w:r>
        <w:t>Index title, author, ISBN, series, publisher, subjects/categories, and alternate titles.</w:t>
      </w:r>
    </w:p>
    <w:p>
      <w:pPr>
        <w:pStyle w:val="Heading2"/>
      </w:pPr>
      <w:r>
        <w:t>Payments, fraud &amp; order processing</w:t>
      </w:r>
    </w:p>
    <w:p>
      <w:pPr>
        <w:pStyle w:val="ListBullet"/>
        <w:spacing w:after="50"/>
      </w:pPr>
      <w:r>
        <w:t>Install/configure Helcim sandbox before any live gateway credentials are introduced.</w:t>
      </w:r>
    </w:p>
    <w:p>
      <w:pPr>
        <w:pStyle w:val="ListBullet"/>
        <w:spacing w:after="50"/>
      </w:pPr>
      <w:r>
        <w:t>Authorize first; do not capture until supplier price/availability and margin are revalidated.</w:t>
      </w:r>
    </w:p>
    <w:p>
      <w:pPr>
        <w:pStyle w:val="ListBullet"/>
        <w:spacing w:after="50"/>
      </w:pPr>
      <w:r>
        <w:t>Add local WooCommerce fraud checks plus Helcim's payment-side risk signals.</w:t>
      </w:r>
    </w:p>
    <w:p>
      <w:pPr>
        <w:pStyle w:val="ListBullet"/>
        <w:spacing w:after="50"/>
      </w:pPr>
      <w:r>
        <w:t>Build explicit order states: Pending → Authorized → Fraud Check → Supplier Verify → Margin Verify → Captured → Supplier Ordered → Shipped → Complete.</w:t>
      </w:r>
    </w:p>
    <w:p>
      <w:pPr>
        <w:pStyle w:val="ListBullet"/>
        <w:spacing w:after="50"/>
      </w:pPr>
      <w:r>
        <w:t>Every failure path must end in a visible review state, not a silent error.</w:t>
      </w:r>
    </w:p>
    <w:p>
      <w:pPr>
        <w:pStyle w:val="ListBullet"/>
        <w:spacing w:after="50"/>
      </w:pPr>
      <w:r>
        <w:t>Test voiding an authorization when fulfillment cannot proceed.</w:t>
      </w:r>
    </w:p>
    <w:p>
      <w:pPr>
        <w:pStyle w:val="Heading2"/>
      </w:pPr>
      <w:r>
        <w:t>Supplier integration</w:t>
      </w:r>
    </w:p>
    <w:p>
      <w:pPr>
        <w:pStyle w:val="ListBullet"/>
        <w:spacing w:after="50"/>
      </w:pPr>
      <w:r>
        <w:t>BooksRun: obtain API key, AutoBuy access, and daily FTP inventory schema/feed if available.</w:t>
      </w:r>
    </w:p>
    <w:p>
      <w:pPr>
        <w:pStyle w:val="ListBullet"/>
        <w:spacing w:after="50"/>
      </w:pPr>
      <w:r>
        <w:t>BooksRun: ingest offers without turning every offer/ISBN into a WooCommerce product.</w:t>
      </w:r>
    </w:p>
    <w:p>
      <w:pPr>
        <w:pStyle w:val="ListBullet"/>
        <w:spacing w:after="50"/>
      </w:pPr>
      <w:r>
        <w:t>BooksRun: always perform a live offer/price check immediately before capture/AutoBuy.</w:t>
      </w:r>
    </w:p>
    <w:p>
      <w:pPr>
        <w:pStyle w:val="ListBullet"/>
        <w:spacing w:after="50"/>
      </w:pPr>
      <w:r>
        <w:t>Ingram: complete retailer onboarding, payment configuration, Direct-to-Home/consumer-direct workflow, and catalog/order integration.</w:t>
      </w:r>
    </w:p>
    <w:p>
      <w:pPr>
        <w:pStyle w:val="ListBullet"/>
        <w:spacing w:after="50"/>
      </w:pPr>
      <w:r>
        <w:t>Implement supplier routing so a line can choose the best valid offer rather than hard-coding one supplier forever.</w:t>
      </w:r>
    </w:p>
    <w:p>
      <w:pPr>
        <w:pStyle w:val="ListBullet"/>
        <w:spacing w:after="50"/>
      </w:pPr>
      <w:r>
        <w:t>Store supplier order ID and tracking against each WooCommerce line/order.</w:t>
      </w:r>
    </w:p>
    <w:p>
      <w:pPr>
        <w:pStyle w:val="Heading2"/>
      </w:pPr>
      <w:r>
        <w:t>Email, membership &amp; retention</w:t>
      </w:r>
    </w:p>
    <w:p>
      <w:pPr>
        <w:pStyle w:val="ListBullet"/>
        <w:spacing w:after="50"/>
      </w:pPr>
      <w:r>
        <w:t>Use a mail catcher in staging so no test email reaches real customers.</w:t>
      </w:r>
    </w:p>
    <w:p>
      <w:pPr>
        <w:pStyle w:val="ListBullet"/>
        <w:spacing w:after="50"/>
      </w:pPr>
      <w:r>
        <w:t>Choose a screened transactional-email provider for production; do not rely on unauthenticated PHP mail.</w:t>
      </w:r>
    </w:p>
    <w:p>
      <w:pPr>
        <w:pStyle w:val="ListBullet"/>
        <w:spacing w:after="50"/>
      </w:pPr>
      <w:r>
        <w:t>Create free member signup/account flow and transparent email-preference/consent language.</w:t>
      </w:r>
    </w:p>
    <w:p>
      <w:pPr>
        <w:pStyle w:val="ListBullet"/>
        <w:spacing w:after="50"/>
      </w:pPr>
      <w:r>
        <w:t>Member flag enables free shipping at $15; regular threshold remains $25.</w:t>
      </w:r>
    </w:p>
    <w:p>
      <w:pPr>
        <w:pStyle w:val="ListBullet"/>
        <w:spacing w:after="50"/>
      </w:pPr>
      <w:r>
        <w:t>MailerLite can start on the free plan for a small list; sync/automation can be added without blocking store launch.</w:t>
      </w:r>
    </w:p>
    <w:p>
      <w:pPr>
        <w:pStyle w:val="ListBullet"/>
        <w:spacing w:after="50"/>
      </w:pPr>
      <w:r>
        <w:t>Prepare welcome, order confirmation, shipment, refund, abandoned-cart, and basic recommendation templates.</w:t>
      </w:r>
    </w:p>
    <w:p>
      <w:pPr>
        <w:pStyle w:val="Heading2"/>
      </w:pPr>
      <w:r>
        <w:t>Legal, tax &amp; customer operations</w:t>
      </w:r>
    </w:p>
    <w:p>
      <w:pPr>
        <w:pStyle w:val="ListBullet"/>
        <w:spacing w:after="50"/>
      </w:pPr>
      <w:r>
        <w:t>Business entity/bank account/resale documentation ready for suppliers.</w:t>
      </w:r>
    </w:p>
    <w:p>
      <w:pPr>
        <w:pStyle w:val="ListBullet"/>
        <w:spacing w:after="50"/>
      </w:pPr>
      <w:r>
        <w:t>Sales-tax configuration tested with real destination examples before launch.</w:t>
      </w:r>
    </w:p>
    <w:p>
      <w:pPr>
        <w:pStyle w:val="ListBullet"/>
        <w:spacing w:after="50"/>
      </w:pPr>
      <w:r>
        <w:t>Publish privacy, terms of sale, returns/refunds, shipping, and used-condition policies.</w:t>
      </w:r>
    </w:p>
    <w:p>
      <w:pPr>
        <w:pStyle w:val="ListBullet"/>
        <w:spacing w:after="50"/>
      </w:pPr>
      <w:r>
        <w:t>Create a customer-service address and response workflow.</w:t>
      </w:r>
    </w:p>
    <w:p>
      <w:pPr>
        <w:pStyle w:val="ListBullet"/>
        <w:spacing w:after="50"/>
      </w:pPr>
      <w:r>
        <w:t>Document what happens when supplier condition differs, an item cancels, shipment is late, or only part of an order can ship.</w:t>
      </w:r>
    </w:p>
    <w:p>
      <w:pPr>
        <w:pStyle w:val="Heading2"/>
      </w:pPr>
      <w:r>
        <w:t>Security &amp; observability</w:t>
      </w:r>
    </w:p>
    <w:p>
      <w:pPr>
        <w:pStyle w:val="ListBullet"/>
        <w:spacing w:after="50"/>
      </w:pPr>
      <w:r>
        <w:t>Enable automatic security updates where safe; stage WooCommerce/theme/plugin upgrades before production.</w:t>
      </w:r>
    </w:p>
    <w:p>
      <w:pPr>
        <w:pStyle w:val="ListBullet"/>
        <w:spacing w:after="50"/>
      </w:pPr>
      <w:r>
        <w:t>Restrict staging from search engines and preferably behind authentication/IP access.</w:t>
      </w:r>
    </w:p>
    <w:p>
      <w:pPr>
        <w:pStyle w:val="ListBullet"/>
        <w:spacing w:after="50"/>
      </w:pPr>
      <w:r>
        <w:t>Alert on uptime, disk space, database health, backup failure, queue backlog, payment errors, BooksRun/Ingram failures, and transactional-email failure.</w:t>
      </w:r>
    </w:p>
    <w:p>
      <w:pPr>
        <w:pStyle w:val="ListBullet"/>
        <w:spacing w:after="50"/>
      </w:pPr>
      <w:r>
        <w:t>Log supplier calls and order-state changes without logging full card data or secrets.</w:t>
      </w:r>
    </w:p>
    <w:p>
      <w:pPr>
        <w:pStyle w:val="ListBullet"/>
        <w:spacing w:after="50"/>
      </w:pPr>
      <w:r>
        <w:t>Rate-limit login/checkout abuse and keep admin accounts on strong MFA.</w:t>
      </w:r>
    </w:p>
    <w:p>
      <w:pPr>
        <w:pStyle w:val="Heading1"/>
      </w:pPr>
      <w:r>
        <w:t>6. Staging Test Matrix</w:t>
      </w:r>
    </w:p>
    <w:p>
      <w:r>
        <w:rPr>
          <w:b/>
        </w:rPr>
        <w:t xml:space="preserve">Staging should intentionally break things. </w:t>
      </w:r>
      <w:r>
        <w:t>A clean happy-path demo is not enough.</w:t>
      </w:r>
    </w:p>
    <w:tbl>
      <w:tblPr>
        <w:tblStyle w:val="TableGrid"/>
        <w:tblW w:type="auto" w:w="0"/>
        <w:jc w:val="center"/>
        <w:tblLook w:firstColumn="1" w:firstRow="1" w:lastColumn="0" w:lastRow="0" w:noHBand="0" w:noVBand="1" w:val="04A0"/>
      </w:tblPr>
      <w:tblGrid>
        <w:gridCol w:w="5083"/>
        <w:gridCol w:w="5083"/>
      </w:tblGrid>
      <w:tr>
        <w:trPr>
          <w:cantSplit/>
          <w:tblHeader w:val="true"/>
        </w:trPr>
        <w:tc>
          <w:tcPr>
            <w:tcW w:type="dxa" w:w="3528"/>
            <w:vAlign w:val="center"/>
            <w:tcMar>
              <w:top w:w="70" w:type="dxa"/>
              <w:start w:w="90" w:type="dxa"/>
              <w:bottom w:w="70" w:type="dxa"/>
              <w:end w:w="90" w:type="dxa"/>
            </w:tcMar>
            <w:shd w:fill="24364B"/>
          </w:tcPr>
          <w:p>
            <w:pPr>
              <w:spacing w:after="0" w:before="0"/>
            </w:pPr>
            <w:r>
              <w:rPr>
                <w:rFonts w:ascii="Aptos" w:hAnsi="Aptos"/>
                <w:b/>
                <w:color w:val="FFFFFF"/>
                <w:sz w:val="16"/>
              </w:rPr>
              <w:t>Scenario</w:t>
            </w:r>
          </w:p>
        </w:tc>
        <w:tc>
          <w:tcPr>
            <w:tcW w:type="dxa" w:w="5832"/>
            <w:vAlign w:val="center"/>
            <w:tcMar>
              <w:top w:w="70" w:type="dxa"/>
              <w:start w:w="90" w:type="dxa"/>
              <w:bottom w:w="70" w:type="dxa"/>
              <w:end w:w="90" w:type="dxa"/>
            </w:tcMar>
            <w:shd w:fill="24364B"/>
          </w:tcPr>
          <w:p>
            <w:pPr>
              <w:spacing w:after="0" w:before="0"/>
            </w:pPr>
            <w:r>
              <w:rPr>
                <w:rFonts w:ascii="Aptos" w:hAnsi="Aptos"/>
                <w:b/>
                <w:color w:val="FFFFFF"/>
                <w:sz w:val="16"/>
              </w:rPr>
              <w:t>Expected behavior</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Supplier price rises after customer checkout</w:t>
            </w:r>
          </w:p>
        </w:tc>
        <w:tc>
          <w:tcPr>
            <w:tcW w:type="dxa" w:w="5832"/>
            <w:vAlign w:val="center"/>
            <w:tcMar>
              <w:top w:w="70" w:type="dxa"/>
              <w:start w:w="90" w:type="dxa"/>
              <w:bottom w:w="70" w:type="dxa"/>
              <w:end w:w="90" w:type="dxa"/>
            </w:tcMar>
          </w:tcPr>
          <w:p>
            <w:pPr>
              <w:spacing w:after="0" w:before="0"/>
            </w:pPr>
            <w:r>
              <w:rPr>
                <w:rFonts w:ascii="Aptos" w:hAnsi="Aptos"/>
                <w:sz w:val="16"/>
              </w:rPr>
              <w:t>Recalculate; capture only if margin rule still passes; otherwise hold.</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Offer goes out of stock</w:t>
            </w:r>
          </w:p>
        </w:tc>
        <w:tc>
          <w:tcPr>
            <w:tcW w:type="dxa" w:w="5832"/>
            <w:vAlign w:val="center"/>
            <w:tcMar>
              <w:top w:w="70" w:type="dxa"/>
              <w:start w:w="90" w:type="dxa"/>
              <w:bottom w:w="70" w:type="dxa"/>
              <w:end w:w="90" w:type="dxa"/>
            </w:tcMar>
            <w:shd w:fill="F5F7F8"/>
          </w:tcPr>
          <w:p>
            <w:pPr>
              <w:spacing w:after="0" w:before="0"/>
            </w:pPr>
            <w:r>
              <w:rPr>
                <w:rFonts w:ascii="Aptos" w:hAnsi="Aptos"/>
                <w:sz w:val="16"/>
              </w:rPr>
              <w:t>Try alternate valid offer/supplier; otherwise void authorization and hold/cancel.</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BooksRun/API timeout</w:t>
            </w:r>
          </w:p>
        </w:tc>
        <w:tc>
          <w:tcPr>
            <w:tcW w:type="dxa" w:w="5832"/>
            <w:vAlign w:val="center"/>
            <w:tcMar>
              <w:top w:w="70" w:type="dxa"/>
              <w:start w:w="90" w:type="dxa"/>
              <w:bottom w:w="70" w:type="dxa"/>
              <w:end w:w="90" w:type="dxa"/>
            </w:tcMar>
          </w:tcPr>
          <w:p>
            <w:pPr>
              <w:spacing w:after="0" w:before="0"/>
            </w:pPr>
            <w:r>
              <w:rPr>
                <w:rFonts w:ascii="Aptos" w:hAnsi="Aptos"/>
                <w:sz w:val="16"/>
              </w:rPr>
              <w:t>Retry safely via queue; do not double-order.</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Duplicate supplier webhook/job</w:t>
            </w:r>
          </w:p>
        </w:tc>
        <w:tc>
          <w:tcPr>
            <w:tcW w:type="dxa" w:w="5832"/>
            <w:vAlign w:val="center"/>
            <w:tcMar>
              <w:top w:w="70" w:type="dxa"/>
              <w:start w:w="90" w:type="dxa"/>
              <w:bottom w:w="70" w:type="dxa"/>
              <w:end w:w="90" w:type="dxa"/>
            </w:tcMar>
            <w:shd w:fill="F5F7F8"/>
          </w:tcPr>
          <w:p>
            <w:pPr>
              <w:spacing w:after="0" w:before="0"/>
            </w:pPr>
            <w:r>
              <w:rPr>
                <w:rFonts w:ascii="Aptos" w:hAnsi="Aptos"/>
                <w:sz w:val="16"/>
              </w:rPr>
              <w:t>Idempotency prevents duplicate capture or duplicate supplier purchase.</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Multiple ISBNs same work</w:t>
            </w:r>
          </w:p>
        </w:tc>
        <w:tc>
          <w:tcPr>
            <w:tcW w:type="dxa" w:w="5832"/>
            <w:vAlign w:val="center"/>
            <w:tcMar>
              <w:top w:w="70" w:type="dxa"/>
              <w:start w:w="90" w:type="dxa"/>
              <w:bottom w:w="70" w:type="dxa"/>
              <w:end w:w="90" w:type="dxa"/>
            </w:tcMar>
          </w:tcPr>
          <w:p>
            <w:pPr>
              <w:spacing w:after="0" w:before="0"/>
            </w:pPr>
            <w:r>
              <w:rPr>
                <w:rFonts w:ascii="Aptos" w:hAnsi="Aptos"/>
                <w:sz w:val="16"/>
              </w:rPr>
              <w:t>One customer-facing product; exact ISBN selected only at fulfillment.</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Cover-specific choice</w:t>
            </w:r>
          </w:p>
        </w:tc>
        <w:tc>
          <w:tcPr>
            <w:tcW w:type="dxa" w:w="5832"/>
            <w:vAlign w:val="center"/>
            <w:tcMar>
              <w:top w:w="70" w:type="dxa"/>
              <w:start w:w="90" w:type="dxa"/>
              <w:bottom w:w="70" w:type="dxa"/>
              <w:end w:w="90" w:type="dxa"/>
            </w:tcMar>
            <w:shd w:fill="F5F7F8"/>
          </w:tcPr>
          <w:p>
            <w:pPr>
              <w:spacing w:after="0" w:before="0"/>
            </w:pPr>
            <w:r>
              <w:rPr>
                <w:rFonts w:ascii="Aptos" w:hAnsi="Aptos"/>
                <w:sz w:val="16"/>
              </w:rPr>
              <w:t>Fulfillment restricted to ISBNs mapped to selected cover/edition.</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Member cart = $15+</w:t>
            </w:r>
          </w:p>
        </w:tc>
        <w:tc>
          <w:tcPr>
            <w:tcW w:type="dxa" w:w="5832"/>
            <w:vAlign w:val="center"/>
            <w:tcMar>
              <w:top w:w="70" w:type="dxa"/>
              <w:start w:w="90" w:type="dxa"/>
              <w:bottom w:w="70" w:type="dxa"/>
              <w:end w:w="90" w:type="dxa"/>
            </w:tcMar>
          </w:tcPr>
          <w:p>
            <w:pPr>
              <w:spacing w:after="0" w:before="0"/>
            </w:pPr>
            <w:r>
              <w:rPr>
                <w:rFonts w:ascii="Aptos" w:hAnsi="Aptos"/>
                <w:sz w:val="16"/>
              </w:rPr>
              <w:t>Free shipping applies.</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Non-member cart = $15–$24.99</w:t>
            </w:r>
          </w:p>
        </w:tc>
        <w:tc>
          <w:tcPr>
            <w:tcW w:type="dxa" w:w="5832"/>
            <w:vAlign w:val="center"/>
            <w:tcMar>
              <w:top w:w="70" w:type="dxa"/>
              <w:start w:w="90" w:type="dxa"/>
              <w:bottom w:w="70" w:type="dxa"/>
              <w:end w:w="90" w:type="dxa"/>
            </w:tcMar>
            <w:shd w:fill="F5F7F8"/>
          </w:tcPr>
          <w:p>
            <w:pPr>
              <w:spacing w:after="0" w:before="0"/>
            </w:pPr>
            <w:r>
              <w:rPr>
                <w:rFonts w:ascii="Aptos" w:hAnsi="Aptos"/>
                <w:sz w:val="16"/>
              </w:rPr>
              <w:t>Normal shipping charge remains.</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Non-member cart = $25+</w:t>
            </w:r>
          </w:p>
        </w:tc>
        <w:tc>
          <w:tcPr>
            <w:tcW w:type="dxa" w:w="5832"/>
            <w:vAlign w:val="center"/>
            <w:tcMar>
              <w:top w:w="70" w:type="dxa"/>
              <w:start w:w="90" w:type="dxa"/>
              <w:bottom w:w="70" w:type="dxa"/>
              <w:end w:w="90" w:type="dxa"/>
            </w:tcMar>
          </w:tcPr>
          <w:p>
            <w:pPr>
              <w:spacing w:after="0" w:before="0"/>
            </w:pPr>
            <w:r>
              <w:rPr>
                <w:rFonts w:ascii="Aptos" w:hAnsi="Aptos"/>
                <w:sz w:val="16"/>
              </w:rPr>
              <w:t>Free shipping applies.</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High fraud score / AVS problem</w:t>
            </w:r>
          </w:p>
        </w:tc>
        <w:tc>
          <w:tcPr>
            <w:tcW w:type="dxa" w:w="5832"/>
            <w:vAlign w:val="center"/>
            <w:tcMar>
              <w:top w:w="70" w:type="dxa"/>
              <w:start w:w="90" w:type="dxa"/>
              <w:bottom w:w="70" w:type="dxa"/>
              <w:end w:w="90" w:type="dxa"/>
            </w:tcMar>
            <w:shd w:fill="F5F7F8"/>
          </w:tcPr>
          <w:p>
            <w:pPr>
              <w:spacing w:after="0" w:before="0"/>
            </w:pPr>
            <w:r>
              <w:rPr>
                <w:rFonts w:ascii="Aptos" w:hAnsi="Aptos"/>
                <w:sz w:val="16"/>
              </w:rPr>
              <w:t>Order held before supplier spend.</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Payment authorization succeeds; supplier fails</w:t>
            </w:r>
          </w:p>
        </w:tc>
        <w:tc>
          <w:tcPr>
            <w:tcW w:type="dxa" w:w="5832"/>
            <w:vAlign w:val="center"/>
            <w:tcMar>
              <w:top w:w="70" w:type="dxa"/>
              <w:start w:w="90" w:type="dxa"/>
              <w:bottom w:w="70" w:type="dxa"/>
              <w:end w:w="90" w:type="dxa"/>
            </w:tcMar>
          </w:tcPr>
          <w:p>
            <w:pPr>
              <w:spacing w:after="0" w:before="0"/>
            </w:pPr>
            <w:r>
              <w:rPr>
                <w:rFonts w:ascii="Aptos" w:hAnsi="Aptos"/>
                <w:sz w:val="16"/>
              </w:rPr>
              <w:t>Authorization voided; no supplier charge; customer notified appropriately.</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Refund after supplier order</w:t>
            </w:r>
          </w:p>
        </w:tc>
        <w:tc>
          <w:tcPr>
            <w:tcW w:type="dxa" w:w="5832"/>
            <w:vAlign w:val="center"/>
            <w:tcMar>
              <w:top w:w="70" w:type="dxa"/>
              <w:start w:w="90" w:type="dxa"/>
              <w:bottom w:w="70" w:type="dxa"/>
              <w:end w:w="90" w:type="dxa"/>
            </w:tcMar>
            <w:shd w:fill="F5F7F8"/>
          </w:tcPr>
          <w:p>
            <w:pPr>
              <w:spacing w:after="0" w:before="0"/>
            </w:pPr>
            <w:r>
              <w:rPr>
                <w:rFonts w:ascii="Aptos" w:hAnsi="Aptos"/>
                <w:sz w:val="16"/>
              </w:rPr>
              <w:t>Refund workflow records actual loss/recovery and customer communication.</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Transactional email provider down</w:t>
            </w:r>
          </w:p>
        </w:tc>
        <w:tc>
          <w:tcPr>
            <w:tcW w:type="dxa" w:w="5832"/>
            <w:vAlign w:val="center"/>
            <w:tcMar>
              <w:top w:w="70" w:type="dxa"/>
              <w:start w:w="90" w:type="dxa"/>
              <w:bottom w:w="70" w:type="dxa"/>
              <w:end w:w="90" w:type="dxa"/>
            </w:tcMar>
          </w:tcPr>
          <w:p>
            <w:pPr>
              <w:spacing w:after="0" w:before="0"/>
            </w:pPr>
            <w:r>
              <w:rPr>
                <w:rFonts w:ascii="Aptos" w:hAnsi="Aptos"/>
                <w:sz w:val="16"/>
              </w:rPr>
              <w:t>Order remains valid; email job retries and alert fires.</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Backup restore</w:t>
            </w:r>
          </w:p>
        </w:tc>
        <w:tc>
          <w:tcPr>
            <w:tcW w:type="dxa" w:w="5832"/>
            <w:vAlign w:val="center"/>
            <w:tcMar>
              <w:top w:w="70" w:type="dxa"/>
              <w:start w:w="90" w:type="dxa"/>
              <w:bottom w:w="70" w:type="dxa"/>
              <w:end w:w="90" w:type="dxa"/>
            </w:tcMar>
            <w:shd w:fill="F5F7F8"/>
          </w:tcPr>
          <w:p>
            <w:pPr>
              <w:spacing w:after="0" w:before="0"/>
            </w:pPr>
            <w:r>
              <w:rPr>
                <w:rFonts w:ascii="Aptos" w:hAnsi="Aptos"/>
                <w:sz w:val="16"/>
              </w:rPr>
              <w:t>Fresh staging restore contains orders/config/catalog mappings and boots successfully.</w:t>
            </w:r>
          </w:p>
        </w:tc>
      </w:tr>
    </w:tbl>
    <w:p>
      <w:pPr>
        <w:pStyle w:val="Heading1"/>
      </w:pPr>
      <w:r>
        <w:t>7. Expected Pre-Launch and Monthly Expenses</w:t>
      </w:r>
    </w:p>
    <w:p>
      <w:r>
        <w:rPr>
          <w:b/>
        </w:rPr>
        <w:t xml:space="preserve">These are planning numbers, not quotes. </w:t>
      </w:r>
      <w:r>
        <w:t>Current public prices verified in August 2026 are used where available; provider choice can lower or raise the VPS/email numbers.</w:t>
      </w:r>
    </w:p>
    <w:tbl>
      <w:tblPr>
        <w:tblStyle w:val="TableGrid"/>
        <w:tblW w:type="auto" w:w="0"/>
        <w:jc w:val="center"/>
        <w:tblLook w:firstColumn="1" w:firstRow="1" w:lastColumn="0" w:lastRow="0" w:noHBand="0" w:noVBand="1" w:val="04A0"/>
      </w:tblPr>
      <w:tblGrid>
        <w:gridCol w:w="2541"/>
        <w:gridCol w:w="2541"/>
        <w:gridCol w:w="2541"/>
        <w:gridCol w:w="2541"/>
      </w:tblGrid>
      <w:tr>
        <w:trPr>
          <w:cantSplit/>
          <w:tblHeader w:val="true"/>
        </w:trPr>
        <w:tc>
          <w:tcPr>
            <w:tcW w:type="dxa" w:w="2448"/>
            <w:vAlign w:val="center"/>
            <w:tcMar>
              <w:top w:w="70" w:type="dxa"/>
              <w:start w:w="90" w:type="dxa"/>
              <w:bottom w:w="70" w:type="dxa"/>
              <w:end w:w="90" w:type="dxa"/>
            </w:tcMar>
            <w:shd w:fill="24364B"/>
          </w:tcPr>
          <w:p>
            <w:pPr>
              <w:spacing w:after="0" w:before="0"/>
            </w:pPr>
            <w:r>
              <w:rPr>
                <w:rFonts w:ascii="Aptos" w:hAnsi="Aptos"/>
                <w:b/>
                <w:color w:val="FFFFFF"/>
                <w:sz w:val="16"/>
              </w:rPr>
              <w:t>Item</w:t>
            </w:r>
          </w:p>
        </w:tc>
        <w:tc>
          <w:tcPr>
            <w:tcW w:type="dxa" w:w="1872"/>
            <w:vAlign w:val="center"/>
            <w:tcMar>
              <w:top w:w="70" w:type="dxa"/>
              <w:start w:w="90" w:type="dxa"/>
              <w:bottom w:w="70" w:type="dxa"/>
              <w:end w:w="90" w:type="dxa"/>
            </w:tcMar>
            <w:shd w:fill="24364B"/>
          </w:tcPr>
          <w:p>
            <w:pPr>
              <w:spacing w:after="0" w:before="0"/>
            </w:pPr>
            <w:r>
              <w:rPr>
                <w:rFonts w:ascii="Aptos" w:hAnsi="Aptos"/>
                <w:b/>
                <w:color w:val="FFFFFF"/>
                <w:sz w:val="16"/>
              </w:rPr>
              <w:t>Launch / annual</w:t>
            </w:r>
          </w:p>
        </w:tc>
        <w:tc>
          <w:tcPr>
            <w:tcW w:type="dxa" w:w="1728"/>
            <w:vAlign w:val="center"/>
            <w:tcMar>
              <w:top w:w="70" w:type="dxa"/>
              <w:start w:w="90" w:type="dxa"/>
              <w:bottom w:w="70" w:type="dxa"/>
              <w:end w:w="90" w:type="dxa"/>
            </w:tcMar>
            <w:shd w:fill="24364B"/>
          </w:tcPr>
          <w:p>
            <w:pPr>
              <w:spacing w:after="0" w:before="0"/>
            </w:pPr>
            <w:r>
              <w:rPr>
                <w:rFonts w:ascii="Aptos" w:hAnsi="Aptos"/>
                <w:b/>
                <w:color w:val="FFFFFF"/>
                <w:sz w:val="16"/>
              </w:rPr>
              <w:t>Monthly</w:t>
            </w:r>
          </w:p>
        </w:tc>
        <w:tc>
          <w:tcPr>
            <w:tcW w:type="dxa" w:w="3312"/>
            <w:vAlign w:val="center"/>
            <w:tcMar>
              <w:top w:w="70" w:type="dxa"/>
              <w:start w:w="90" w:type="dxa"/>
              <w:bottom w:w="70" w:type="dxa"/>
              <w:end w:w="90" w:type="dxa"/>
            </w:tcMar>
            <w:shd w:fill="24364B"/>
          </w:tcPr>
          <w:p>
            <w:pPr>
              <w:spacing w:after="0" w:before="0"/>
            </w:pPr>
            <w:r>
              <w:rPr>
                <w:rFonts w:ascii="Aptos" w:hAnsi="Aptos"/>
                <w:b/>
                <w:color w:val="FFFFFF"/>
                <w:sz w:val="16"/>
              </w:rPr>
              <w:t>Notes</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WooCommerce / WordPress / MariaDB / Redis</w:t>
            </w:r>
          </w:p>
        </w:tc>
        <w:tc>
          <w:tcPr>
            <w:tcW w:type="dxa" w:w="1872"/>
            <w:vAlign w:val="center"/>
            <w:tcMar>
              <w:top w:w="70" w:type="dxa"/>
              <w:start w:w="90" w:type="dxa"/>
              <w:bottom w:w="70" w:type="dxa"/>
              <w:end w:w="90" w:type="dxa"/>
            </w:tcMar>
          </w:tcPr>
          <w:p>
            <w:pPr>
              <w:spacing w:after="0" w:before="0"/>
            </w:pPr>
            <w:r>
              <w:rPr>
                <w:rFonts w:ascii="Aptos" w:hAnsi="Aptos"/>
                <w:sz w:val="16"/>
              </w:rPr>
              <w:t>$0</w:t>
            </w:r>
          </w:p>
        </w:tc>
        <w:tc>
          <w:tcPr>
            <w:tcW w:type="dxa" w:w="1728"/>
            <w:vAlign w:val="center"/>
            <w:tcMar>
              <w:top w:w="70" w:type="dxa"/>
              <w:start w:w="90" w:type="dxa"/>
              <w:bottom w:w="70" w:type="dxa"/>
              <w:end w:w="90" w:type="dxa"/>
            </w:tcMar>
          </w:tcPr>
          <w:p>
            <w:pPr>
              <w:spacing w:after="0" w:before="0"/>
            </w:pPr>
            <w:r>
              <w:rPr>
                <w:rFonts w:ascii="Aptos" w:hAnsi="Aptos"/>
                <w:sz w:val="16"/>
              </w:rPr>
              <w:t>$0</w:t>
            </w:r>
          </w:p>
        </w:tc>
        <w:tc>
          <w:tcPr>
            <w:tcW w:type="dxa" w:w="3312"/>
            <w:vAlign w:val="center"/>
            <w:tcMar>
              <w:top w:w="70" w:type="dxa"/>
              <w:start w:w="90" w:type="dxa"/>
              <w:bottom w:w="70" w:type="dxa"/>
              <w:end w:w="90" w:type="dxa"/>
            </w:tcMar>
          </w:tcPr>
          <w:p>
            <w:pPr>
              <w:spacing w:after="0" w:before="0"/>
            </w:pPr>
            <w:r>
              <w:rPr>
                <w:rFonts w:ascii="Aptos" w:hAnsi="Aptos"/>
                <w:sz w:val="16"/>
              </w:rPr>
              <w:t>Open-source software.</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Blocksy Business</w:t>
            </w:r>
          </w:p>
        </w:tc>
        <w:tc>
          <w:tcPr>
            <w:tcW w:type="dxa" w:w="1872"/>
            <w:vAlign w:val="center"/>
            <w:tcMar>
              <w:top w:w="70" w:type="dxa"/>
              <w:start w:w="90" w:type="dxa"/>
              <w:bottom w:w="70" w:type="dxa"/>
              <w:end w:w="90" w:type="dxa"/>
            </w:tcMar>
            <w:shd w:fill="F5F7F8"/>
          </w:tcPr>
          <w:p>
            <w:pPr>
              <w:spacing w:after="0" w:before="0"/>
            </w:pPr>
            <w:r>
              <w:rPr>
                <w:rFonts w:ascii="Aptos" w:hAnsi="Aptos"/>
                <w:sz w:val="16"/>
              </w:rPr>
              <w:t>$99/year</w:t>
            </w:r>
          </w:p>
        </w:tc>
        <w:tc>
          <w:tcPr>
            <w:tcW w:type="dxa" w:w="1728"/>
            <w:vAlign w:val="center"/>
            <w:tcMar>
              <w:top w:w="70" w:type="dxa"/>
              <w:start w:w="90" w:type="dxa"/>
              <w:bottom w:w="70" w:type="dxa"/>
              <w:end w:w="90" w:type="dxa"/>
            </w:tcMar>
            <w:shd w:fill="F5F7F8"/>
          </w:tcPr>
          <w:p>
            <w:pPr>
              <w:spacing w:after="0" w:before="0"/>
            </w:pPr>
            <w:r>
              <w:rPr>
                <w:rFonts w:ascii="Aptos" w:hAnsi="Aptos"/>
                <w:sz w:val="16"/>
              </w:rPr>
              <w:t>≈$8.25 amortized</w:t>
            </w:r>
          </w:p>
        </w:tc>
        <w:tc>
          <w:tcPr>
            <w:tcW w:type="dxa" w:w="3312"/>
            <w:vAlign w:val="center"/>
            <w:tcMar>
              <w:top w:w="70" w:type="dxa"/>
              <w:start w:w="90" w:type="dxa"/>
              <w:bottom w:w="70" w:type="dxa"/>
              <w:end w:w="90" w:type="dxa"/>
            </w:tcMar>
            <w:shd w:fill="F5F7F8"/>
          </w:tcPr>
          <w:p>
            <w:pPr>
              <w:spacing w:after="0" w:before="0"/>
            </w:pPr>
            <w:r>
              <w:rPr>
                <w:rFonts w:ascii="Aptos" w:hAnsi="Aptos"/>
                <w:sz w:val="16"/>
              </w:rPr>
              <w:t>Book Store starter requires Business or Agency.</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Domain</w:t>
            </w:r>
          </w:p>
        </w:tc>
        <w:tc>
          <w:tcPr>
            <w:tcW w:type="dxa" w:w="1872"/>
            <w:vAlign w:val="center"/>
            <w:tcMar>
              <w:top w:w="70" w:type="dxa"/>
              <w:start w:w="90" w:type="dxa"/>
              <w:bottom w:w="70" w:type="dxa"/>
              <w:end w:w="90" w:type="dxa"/>
            </w:tcMar>
          </w:tcPr>
          <w:p>
            <w:pPr>
              <w:spacing w:after="0" w:before="0"/>
            </w:pPr>
            <w:r>
              <w:rPr>
                <w:rFonts w:ascii="Aptos" w:hAnsi="Aptos"/>
                <w:sz w:val="16"/>
              </w:rPr>
              <w:t>$15–25/year est.</w:t>
            </w:r>
          </w:p>
        </w:tc>
        <w:tc>
          <w:tcPr>
            <w:tcW w:type="dxa" w:w="1728"/>
            <w:vAlign w:val="center"/>
            <w:tcMar>
              <w:top w:w="70" w:type="dxa"/>
              <w:start w:w="90" w:type="dxa"/>
              <w:bottom w:w="70" w:type="dxa"/>
              <w:end w:w="90" w:type="dxa"/>
            </w:tcMar>
          </w:tcPr>
          <w:p>
            <w:pPr>
              <w:spacing w:after="0" w:before="0"/>
            </w:pPr>
            <w:r>
              <w:rPr>
                <w:rFonts w:ascii="Aptos" w:hAnsi="Aptos"/>
                <w:sz w:val="16"/>
              </w:rPr>
              <w:t>≈$1–2 amortized</w:t>
            </w:r>
          </w:p>
        </w:tc>
        <w:tc>
          <w:tcPr>
            <w:tcW w:type="dxa" w:w="3312"/>
            <w:vAlign w:val="center"/>
            <w:tcMar>
              <w:top w:w="70" w:type="dxa"/>
              <w:start w:w="90" w:type="dxa"/>
              <w:bottom w:w="70" w:type="dxa"/>
              <w:end w:w="90" w:type="dxa"/>
            </w:tcMar>
          </w:tcPr>
          <w:p>
            <w:pPr>
              <w:spacing w:after="0" w:before="0"/>
            </w:pPr>
            <w:r>
              <w:rPr>
                <w:rFonts w:ascii="Aptos" w:hAnsi="Aptos"/>
                <w:sz w:val="16"/>
              </w:rPr>
              <w:t>Depends on registrar/TLD.</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Production VPS benchmark</w:t>
            </w:r>
          </w:p>
        </w:tc>
        <w:tc>
          <w:tcPr>
            <w:tcW w:type="dxa" w:w="1872"/>
            <w:vAlign w:val="center"/>
            <w:tcMar>
              <w:top w:w="70" w:type="dxa"/>
              <w:start w:w="90" w:type="dxa"/>
              <w:bottom w:w="70" w:type="dxa"/>
              <w:end w:w="90" w:type="dxa"/>
            </w:tcMar>
            <w:shd w:fill="F5F7F8"/>
          </w:tcPr>
          <w:p>
            <w:pPr>
              <w:spacing w:after="0" w:before="0"/>
            </w:pPr>
            <w:r>
              <w:rPr>
                <w:rFonts w:ascii="Aptos" w:hAnsi="Aptos"/>
                <w:sz w:val="16"/>
              </w:rPr>
              <w:t>$0 setup</w:t>
            </w:r>
          </w:p>
        </w:tc>
        <w:tc>
          <w:tcPr>
            <w:tcW w:type="dxa" w:w="1728"/>
            <w:vAlign w:val="center"/>
            <w:tcMar>
              <w:top w:w="70" w:type="dxa"/>
              <w:start w:w="90" w:type="dxa"/>
              <w:bottom w:w="70" w:type="dxa"/>
              <w:end w:w="90" w:type="dxa"/>
            </w:tcMar>
            <w:shd w:fill="F5F7F8"/>
          </w:tcPr>
          <w:p>
            <w:pPr>
              <w:spacing w:after="0" w:before="0"/>
            </w:pPr>
            <w:r>
              <w:rPr>
                <w:rFonts w:ascii="Aptos" w:hAnsi="Aptos"/>
                <w:sz w:val="16"/>
              </w:rPr>
              <w:t>$48</w:t>
            </w:r>
          </w:p>
        </w:tc>
        <w:tc>
          <w:tcPr>
            <w:tcW w:type="dxa" w:w="3312"/>
            <w:vAlign w:val="center"/>
            <w:tcMar>
              <w:top w:w="70" w:type="dxa"/>
              <w:start w:w="90" w:type="dxa"/>
              <w:bottom w:w="70" w:type="dxa"/>
              <w:end w:w="90" w:type="dxa"/>
            </w:tcMar>
            <w:shd w:fill="F5F7F8"/>
          </w:tcPr>
          <w:p>
            <w:pPr>
              <w:spacing w:after="0" w:before="0"/>
            </w:pPr>
            <w:r>
              <w:rPr>
                <w:rFonts w:ascii="Aptos" w:hAnsi="Aptos"/>
                <w:sz w:val="16"/>
              </w:rPr>
              <w:t>4 vCPU / 8 GB / 160 GB / 5 TB transfer benchmark.</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Staging VPS benchmark</w:t>
            </w:r>
          </w:p>
        </w:tc>
        <w:tc>
          <w:tcPr>
            <w:tcW w:type="dxa" w:w="1872"/>
            <w:vAlign w:val="center"/>
            <w:tcMar>
              <w:top w:w="70" w:type="dxa"/>
              <w:start w:w="90" w:type="dxa"/>
              <w:bottom w:w="70" w:type="dxa"/>
              <w:end w:w="90" w:type="dxa"/>
            </w:tcMar>
          </w:tcPr>
          <w:p>
            <w:pPr>
              <w:spacing w:after="0" w:before="0"/>
            </w:pPr>
            <w:r>
              <w:rPr>
                <w:rFonts w:ascii="Aptos" w:hAnsi="Aptos"/>
                <w:sz w:val="16"/>
              </w:rPr>
              <w:t>$0 setup</w:t>
            </w:r>
          </w:p>
        </w:tc>
        <w:tc>
          <w:tcPr>
            <w:tcW w:type="dxa" w:w="1728"/>
            <w:vAlign w:val="center"/>
            <w:tcMar>
              <w:top w:w="70" w:type="dxa"/>
              <w:start w:w="90" w:type="dxa"/>
              <w:bottom w:w="70" w:type="dxa"/>
              <w:end w:w="90" w:type="dxa"/>
            </w:tcMar>
          </w:tcPr>
          <w:p>
            <w:pPr>
              <w:spacing w:after="0" w:before="0"/>
            </w:pPr>
            <w:r>
              <w:rPr>
                <w:rFonts w:ascii="Aptos" w:hAnsi="Aptos"/>
                <w:sz w:val="16"/>
              </w:rPr>
              <w:t>$24</w:t>
            </w:r>
          </w:p>
        </w:tc>
        <w:tc>
          <w:tcPr>
            <w:tcW w:type="dxa" w:w="3312"/>
            <w:vAlign w:val="center"/>
            <w:tcMar>
              <w:top w:w="70" w:type="dxa"/>
              <w:start w:w="90" w:type="dxa"/>
              <w:bottom w:w="70" w:type="dxa"/>
              <w:end w:w="90" w:type="dxa"/>
            </w:tcMar>
          </w:tcPr>
          <w:p>
            <w:pPr>
              <w:spacing w:after="0" w:before="0"/>
            </w:pPr>
            <w:r>
              <w:rPr>
                <w:rFonts w:ascii="Aptos" w:hAnsi="Aptos"/>
                <w:sz w:val="16"/>
              </w:rPr>
              <w:t>2 vCPU / 4 GB / 80 GB / 4 TB transfer benchmark.</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Off-site backups</w:t>
            </w:r>
          </w:p>
        </w:tc>
        <w:tc>
          <w:tcPr>
            <w:tcW w:type="dxa" w:w="1872"/>
            <w:vAlign w:val="center"/>
            <w:tcMar>
              <w:top w:w="70" w:type="dxa"/>
              <w:start w:w="90" w:type="dxa"/>
              <w:bottom w:w="70" w:type="dxa"/>
              <w:end w:w="90" w:type="dxa"/>
            </w:tcMar>
            <w:shd w:fill="F5F7F8"/>
          </w:tcPr>
          <w:p>
            <w:pPr>
              <w:spacing w:after="0" w:before="0"/>
            </w:pPr>
            <w:r>
              <w:rPr>
                <w:rFonts w:ascii="Aptos" w:hAnsi="Aptos"/>
                <w:sz w:val="16"/>
              </w:rPr>
              <w:t>$0–small</w:t>
            </w:r>
          </w:p>
        </w:tc>
        <w:tc>
          <w:tcPr>
            <w:tcW w:type="dxa" w:w="1728"/>
            <w:vAlign w:val="center"/>
            <w:tcMar>
              <w:top w:w="70" w:type="dxa"/>
              <w:start w:w="90" w:type="dxa"/>
              <w:bottom w:w="70" w:type="dxa"/>
              <w:end w:w="90" w:type="dxa"/>
            </w:tcMar>
            <w:shd w:fill="F5F7F8"/>
          </w:tcPr>
          <w:p>
            <w:pPr>
              <w:spacing w:after="0" w:before="0"/>
            </w:pPr>
            <w:r>
              <w:rPr>
                <w:rFonts w:ascii="Aptos" w:hAnsi="Aptos"/>
                <w:sz w:val="16"/>
              </w:rPr>
              <w:t>$5–15 est.</w:t>
            </w:r>
          </w:p>
        </w:tc>
        <w:tc>
          <w:tcPr>
            <w:tcW w:type="dxa" w:w="3312"/>
            <w:vAlign w:val="center"/>
            <w:tcMar>
              <w:top w:w="70" w:type="dxa"/>
              <w:start w:w="90" w:type="dxa"/>
              <w:bottom w:w="70" w:type="dxa"/>
              <w:end w:w="90" w:type="dxa"/>
            </w:tcMar>
            <w:shd w:fill="F5F7F8"/>
          </w:tcPr>
          <w:p>
            <w:pPr>
              <w:spacing w:after="0" w:before="0"/>
            </w:pPr>
            <w:r>
              <w:rPr>
                <w:rFonts w:ascii="Aptos" w:hAnsi="Aptos"/>
                <w:sz w:val="16"/>
              </w:rPr>
              <w:t>Could be lower if using existing owned storage plus offsite copy.</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Transactional email</w:t>
            </w:r>
          </w:p>
        </w:tc>
        <w:tc>
          <w:tcPr>
            <w:tcW w:type="dxa" w:w="1872"/>
            <w:vAlign w:val="center"/>
            <w:tcMar>
              <w:top w:w="70" w:type="dxa"/>
              <w:start w:w="90" w:type="dxa"/>
              <w:bottom w:w="70" w:type="dxa"/>
              <w:end w:w="90" w:type="dxa"/>
            </w:tcMar>
          </w:tcPr>
          <w:p>
            <w:pPr>
              <w:spacing w:after="0" w:before="0"/>
            </w:pPr>
            <w:r>
              <w:rPr>
                <w:rFonts w:ascii="Aptos" w:hAnsi="Aptos"/>
                <w:sz w:val="16"/>
              </w:rPr>
              <w:t>$0–small</w:t>
            </w:r>
          </w:p>
        </w:tc>
        <w:tc>
          <w:tcPr>
            <w:tcW w:type="dxa" w:w="1728"/>
            <w:vAlign w:val="center"/>
            <w:tcMar>
              <w:top w:w="70" w:type="dxa"/>
              <w:start w:w="90" w:type="dxa"/>
              <w:bottom w:w="70" w:type="dxa"/>
              <w:end w:w="90" w:type="dxa"/>
            </w:tcMar>
          </w:tcPr>
          <w:p>
            <w:pPr>
              <w:spacing w:after="0" w:before="0"/>
            </w:pPr>
            <w:r>
              <w:rPr>
                <w:rFonts w:ascii="Aptos" w:hAnsi="Aptos"/>
                <w:sz w:val="16"/>
              </w:rPr>
              <w:t>$0–15 est.</w:t>
            </w:r>
          </w:p>
        </w:tc>
        <w:tc>
          <w:tcPr>
            <w:tcW w:type="dxa" w:w="3312"/>
            <w:vAlign w:val="center"/>
            <w:tcMar>
              <w:top w:w="70" w:type="dxa"/>
              <w:start w:w="90" w:type="dxa"/>
              <w:bottom w:w="70" w:type="dxa"/>
              <w:end w:w="90" w:type="dxa"/>
            </w:tcMar>
          </w:tcPr>
          <w:p>
            <w:pPr>
              <w:spacing w:after="0" w:before="0"/>
            </w:pPr>
            <w:r>
              <w:rPr>
                <w:rFonts w:ascii="Aptos" w:hAnsi="Aptos"/>
                <w:sz w:val="16"/>
              </w:rPr>
              <w:t>Provider still to be selected/screened.</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Shop Defender (optional but recommended)</w:t>
            </w:r>
          </w:p>
        </w:tc>
        <w:tc>
          <w:tcPr>
            <w:tcW w:type="dxa" w:w="1872"/>
            <w:vAlign w:val="center"/>
            <w:tcMar>
              <w:top w:w="70" w:type="dxa"/>
              <w:start w:w="90" w:type="dxa"/>
              <w:bottom w:w="70" w:type="dxa"/>
              <w:end w:w="90" w:type="dxa"/>
            </w:tcMar>
            <w:shd w:fill="F5F7F8"/>
          </w:tcPr>
          <w:p>
            <w:pPr>
              <w:spacing w:after="0" w:before="0"/>
            </w:pPr>
            <w:r>
              <w:rPr>
                <w:rFonts w:ascii="Aptos" w:hAnsi="Aptos"/>
                <w:sz w:val="16"/>
              </w:rPr>
              <w:t>$39/year</w:t>
            </w:r>
          </w:p>
        </w:tc>
        <w:tc>
          <w:tcPr>
            <w:tcW w:type="dxa" w:w="1728"/>
            <w:vAlign w:val="center"/>
            <w:tcMar>
              <w:top w:w="70" w:type="dxa"/>
              <w:start w:w="90" w:type="dxa"/>
              <w:bottom w:w="70" w:type="dxa"/>
              <w:end w:w="90" w:type="dxa"/>
            </w:tcMar>
            <w:shd w:fill="F5F7F8"/>
          </w:tcPr>
          <w:p>
            <w:pPr>
              <w:spacing w:after="0" w:before="0"/>
            </w:pPr>
            <w:r>
              <w:rPr>
                <w:rFonts w:ascii="Aptos" w:hAnsi="Aptos"/>
                <w:sz w:val="16"/>
              </w:rPr>
              <w:t>≈$3.25 amortized</w:t>
            </w:r>
          </w:p>
        </w:tc>
        <w:tc>
          <w:tcPr>
            <w:tcW w:type="dxa" w:w="3312"/>
            <w:vAlign w:val="center"/>
            <w:tcMar>
              <w:top w:w="70" w:type="dxa"/>
              <w:start w:w="90" w:type="dxa"/>
              <w:bottom w:w="70" w:type="dxa"/>
              <w:end w:w="90" w:type="dxa"/>
            </w:tcMar>
            <w:shd w:fill="F5F7F8"/>
          </w:tcPr>
          <w:p>
            <w:pPr>
              <w:spacing w:after="0" w:before="0"/>
            </w:pPr>
            <w:r>
              <w:rPr>
                <w:rFonts w:ascii="Aptos" w:hAnsi="Aptos"/>
                <w:sz w:val="16"/>
              </w:rPr>
              <w:t>Local WooCommerce fraud layer.</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MailerLite marketing</w:t>
            </w:r>
          </w:p>
        </w:tc>
        <w:tc>
          <w:tcPr>
            <w:tcW w:type="dxa" w:w="1872"/>
            <w:vAlign w:val="center"/>
            <w:tcMar>
              <w:top w:w="70" w:type="dxa"/>
              <w:start w:w="90" w:type="dxa"/>
              <w:bottom w:w="70" w:type="dxa"/>
              <w:end w:w="90" w:type="dxa"/>
            </w:tcMar>
          </w:tcPr>
          <w:p>
            <w:pPr>
              <w:spacing w:after="0" w:before="0"/>
            </w:pPr>
            <w:r>
              <w:rPr>
                <w:rFonts w:ascii="Aptos" w:hAnsi="Aptos"/>
                <w:sz w:val="16"/>
              </w:rPr>
              <w:t>$0 initially</w:t>
            </w:r>
          </w:p>
        </w:tc>
        <w:tc>
          <w:tcPr>
            <w:tcW w:type="dxa" w:w="1728"/>
            <w:vAlign w:val="center"/>
            <w:tcMar>
              <w:top w:w="70" w:type="dxa"/>
              <w:start w:w="90" w:type="dxa"/>
              <w:bottom w:w="70" w:type="dxa"/>
              <w:end w:w="90" w:type="dxa"/>
            </w:tcMar>
          </w:tcPr>
          <w:p>
            <w:pPr>
              <w:spacing w:after="0" w:before="0"/>
            </w:pPr>
            <w:r>
              <w:rPr>
                <w:rFonts w:ascii="Aptos" w:hAnsi="Aptos"/>
                <w:sz w:val="16"/>
              </w:rPr>
              <w:t>$0 initially</w:t>
            </w:r>
          </w:p>
        </w:tc>
        <w:tc>
          <w:tcPr>
            <w:tcW w:type="dxa" w:w="3312"/>
            <w:vAlign w:val="center"/>
            <w:tcMar>
              <w:top w:w="70" w:type="dxa"/>
              <w:start w:w="90" w:type="dxa"/>
              <w:bottom w:w="70" w:type="dxa"/>
              <w:end w:w="90" w:type="dxa"/>
            </w:tcMar>
          </w:tcPr>
          <w:p>
            <w:pPr>
              <w:spacing w:after="0" w:before="0"/>
            </w:pPr>
            <w:r>
              <w:rPr>
                <w:rFonts w:ascii="Aptos" w:hAnsi="Aptos"/>
                <w:sz w:val="16"/>
              </w:rPr>
              <w:t>Free: up to 250 subscribers / 2,500 emails monthly; paid plans start around $12/mo.</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Helcim</w:t>
            </w:r>
          </w:p>
        </w:tc>
        <w:tc>
          <w:tcPr>
            <w:tcW w:type="dxa" w:w="1872"/>
            <w:vAlign w:val="center"/>
            <w:tcMar>
              <w:top w:w="70" w:type="dxa"/>
              <w:start w:w="90" w:type="dxa"/>
              <w:bottom w:w="70" w:type="dxa"/>
              <w:end w:w="90" w:type="dxa"/>
            </w:tcMar>
            <w:shd w:fill="F5F7F8"/>
          </w:tcPr>
          <w:p>
            <w:pPr>
              <w:spacing w:after="0" w:before="0"/>
            </w:pPr>
            <w:r>
              <w:rPr>
                <w:rFonts w:ascii="Aptos" w:hAnsi="Aptos"/>
                <w:sz w:val="16"/>
              </w:rPr>
              <w:t>$0 fixed setup</w:t>
            </w:r>
          </w:p>
        </w:tc>
        <w:tc>
          <w:tcPr>
            <w:tcW w:type="dxa" w:w="1728"/>
            <w:vAlign w:val="center"/>
            <w:tcMar>
              <w:top w:w="70" w:type="dxa"/>
              <w:start w:w="90" w:type="dxa"/>
              <w:bottom w:w="70" w:type="dxa"/>
              <w:end w:w="90" w:type="dxa"/>
            </w:tcMar>
            <w:shd w:fill="F5F7F8"/>
          </w:tcPr>
          <w:p>
            <w:pPr>
              <w:spacing w:after="0" w:before="0"/>
            </w:pPr>
            <w:r>
              <w:rPr>
                <w:rFonts w:ascii="Aptos" w:hAnsi="Aptos"/>
                <w:sz w:val="16"/>
              </w:rPr>
              <w:t>$0 fixed</w:t>
            </w:r>
          </w:p>
        </w:tc>
        <w:tc>
          <w:tcPr>
            <w:tcW w:type="dxa" w:w="3312"/>
            <w:vAlign w:val="center"/>
            <w:tcMar>
              <w:top w:w="70" w:type="dxa"/>
              <w:start w:w="90" w:type="dxa"/>
              <w:bottom w:w="70" w:type="dxa"/>
              <w:end w:w="90" w:type="dxa"/>
            </w:tcMar>
            <w:shd w:fill="F5F7F8"/>
          </w:tcPr>
          <w:p>
            <w:pPr>
              <w:spacing w:after="0" w:before="0"/>
            </w:pPr>
            <w:r>
              <w:rPr>
                <w:rFonts w:ascii="Aptos" w:hAnsi="Aptos"/>
                <w:sz w:val="16"/>
              </w:rPr>
              <w:t>At $0–$50k/mo: interchange + 0.50% + $0.25 for keyed/online.</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BooksRun</w:t>
            </w:r>
          </w:p>
        </w:tc>
        <w:tc>
          <w:tcPr>
            <w:tcW w:type="dxa" w:w="1872"/>
            <w:vAlign w:val="center"/>
            <w:tcMar>
              <w:top w:w="70" w:type="dxa"/>
              <w:start w:w="90" w:type="dxa"/>
              <w:bottom w:w="70" w:type="dxa"/>
              <w:end w:w="90" w:type="dxa"/>
            </w:tcMar>
          </w:tcPr>
          <w:p>
            <w:pPr>
              <w:spacing w:after="0" w:before="0"/>
            </w:pPr>
            <w:r>
              <w:rPr>
                <w:rFonts w:ascii="Aptos" w:hAnsi="Aptos"/>
                <w:sz w:val="16"/>
              </w:rPr>
              <w:t>No public API setup fee identified</w:t>
            </w:r>
          </w:p>
        </w:tc>
        <w:tc>
          <w:tcPr>
            <w:tcW w:type="dxa" w:w="1728"/>
            <w:vAlign w:val="center"/>
            <w:tcMar>
              <w:top w:w="70" w:type="dxa"/>
              <w:start w:w="90" w:type="dxa"/>
              <w:bottom w:w="70" w:type="dxa"/>
              <w:end w:w="90" w:type="dxa"/>
            </w:tcMar>
          </w:tcPr>
          <w:p>
            <w:pPr>
              <w:spacing w:after="0" w:before="0"/>
            </w:pPr>
            <w:r>
              <w:rPr>
                <w:rFonts w:ascii="Aptos" w:hAnsi="Aptos"/>
                <w:sz w:val="16"/>
              </w:rPr>
              <w:t>Usage = supplier purchases</w:t>
            </w:r>
          </w:p>
        </w:tc>
        <w:tc>
          <w:tcPr>
            <w:tcW w:type="dxa" w:w="3312"/>
            <w:vAlign w:val="center"/>
            <w:tcMar>
              <w:top w:w="70" w:type="dxa"/>
              <w:start w:w="90" w:type="dxa"/>
              <w:bottom w:w="70" w:type="dxa"/>
              <w:end w:w="90" w:type="dxa"/>
            </w:tcMar>
          </w:tcPr>
          <w:p>
            <w:pPr>
              <w:spacing w:after="0" w:before="0"/>
            </w:pPr>
            <w:r>
              <w:rPr>
                <w:rFonts w:ascii="Aptos" w:hAnsi="Aptos"/>
                <w:sz w:val="16"/>
              </w:rPr>
              <w:t>API key + AutoBuy; FTP available for bulk buyers.</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Ingram retailer account</w:t>
            </w:r>
          </w:p>
        </w:tc>
        <w:tc>
          <w:tcPr>
            <w:tcW w:type="dxa" w:w="1872"/>
            <w:vAlign w:val="center"/>
            <w:tcMar>
              <w:top w:w="70" w:type="dxa"/>
              <w:start w:w="90" w:type="dxa"/>
              <w:bottom w:w="70" w:type="dxa"/>
              <w:end w:w="90" w:type="dxa"/>
            </w:tcMar>
            <w:shd w:fill="F5F7F8"/>
          </w:tcPr>
          <w:p>
            <w:pPr>
              <w:spacing w:after="0" w:before="0"/>
            </w:pPr>
            <w:r>
              <w:rPr>
                <w:rFonts w:ascii="Aptos" w:hAnsi="Aptos"/>
                <w:sz w:val="16"/>
              </w:rPr>
              <w:t>$0 account opening shown for ipage</w:t>
            </w:r>
          </w:p>
        </w:tc>
        <w:tc>
          <w:tcPr>
            <w:tcW w:type="dxa" w:w="1728"/>
            <w:vAlign w:val="center"/>
            <w:tcMar>
              <w:top w:w="70" w:type="dxa"/>
              <w:start w:w="90" w:type="dxa"/>
              <w:bottom w:w="70" w:type="dxa"/>
              <w:end w:w="90" w:type="dxa"/>
            </w:tcMar>
            <w:shd w:fill="F5F7F8"/>
          </w:tcPr>
          <w:p>
            <w:pPr>
              <w:spacing w:after="0" w:before="0"/>
            </w:pPr>
            <w:r>
              <w:rPr>
                <w:rFonts w:ascii="Aptos" w:hAnsi="Aptos"/>
                <w:sz w:val="16"/>
              </w:rPr>
              <w:t>Usage = supplier purchases</w:t>
            </w:r>
          </w:p>
        </w:tc>
        <w:tc>
          <w:tcPr>
            <w:tcW w:type="dxa" w:w="3312"/>
            <w:vAlign w:val="center"/>
            <w:tcMar>
              <w:top w:w="70" w:type="dxa"/>
              <w:start w:w="90" w:type="dxa"/>
              <w:bottom w:w="70" w:type="dxa"/>
              <w:end w:w="90" w:type="dxa"/>
            </w:tcMar>
            <w:shd w:fill="F5F7F8"/>
          </w:tcPr>
          <w:p>
            <w:pPr>
              <w:spacing w:after="0" w:before="0"/>
            </w:pPr>
            <w:r>
              <w:rPr>
                <w:rFonts w:ascii="Aptos" w:hAnsi="Aptos"/>
                <w:sz w:val="16"/>
              </w:rPr>
              <w:t>Wholesale purchasing/fulfillment costs are variable.</w:t>
            </w:r>
          </w:p>
        </w:tc>
      </w:tr>
      <w:tr>
        <w:trPr>
          <w:cantSplit/>
        </w:trPr>
        <w:tc>
          <w:tcPr>
            <w:tcW w:type="dxa" w:w="2448"/>
            <w:vAlign w:val="center"/>
            <w:tcMar>
              <w:top w:w="70" w:type="dxa"/>
              <w:start w:w="90" w:type="dxa"/>
              <w:bottom w:w="70" w:type="dxa"/>
              <w:end w:w="90" w:type="dxa"/>
            </w:tcMar>
          </w:tcPr>
          <w:p>
            <w:pPr>
              <w:spacing w:after="0" w:before="0"/>
            </w:pPr>
            <w:r>
              <w:rPr>
                <w:rFonts w:ascii="Aptos" w:hAnsi="Aptos"/>
                <w:sz w:val="16"/>
              </w:rPr>
              <w:t>Business/legal/tax filings</w:t>
            </w:r>
          </w:p>
        </w:tc>
        <w:tc>
          <w:tcPr>
            <w:tcW w:type="dxa" w:w="1872"/>
            <w:vAlign w:val="center"/>
            <w:tcMar>
              <w:top w:w="70" w:type="dxa"/>
              <w:start w:w="90" w:type="dxa"/>
              <w:bottom w:w="70" w:type="dxa"/>
              <w:end w:w="90" w:type="dxa"/>
            </w:tcMar>
          </w:tcPr>
          <w:p>
            <w:pPr>
              <w:spacing w:after="0" w:before="0"/>
            </w:pPr>
            <w:r>
              <w:rPr>
                <w:rFonts w:ascii="Aptos" w:hAnsi="Aptos"/>
                <w:sz w:val="16"/>
              </w:rPr>
              <w:t>TBD</w:t>
            </w:r>
          </w:p>
        </w:tc>
        <w:tc>
          <w:tcPr>
            <w:tcW w:type="dxa" w:w="1728"/>
            <w:vAlign w:val="center"/>
            <w:tcMar>
              <w:top w:w="70" w:type="dxa"/>
              <w:start w:w="90" w:type="dxa"/>
              <w:bottom w:w="70" w:type="dxa"/>
              <w:end w:w="90" w:type="dxa"/>
            </w:tcMar>
          </w:tcPr>
          <w:p>
            <w:pPr>
              <w:spacing w:after="0" w:before="0"/>
            </w:pPr>
            <w:r>
              <w:rPr>
                <w:rFonts w:ascii="Aptos" w:hAnsi="Aptos"/>
                <w:sz w:val="16"/>
              </w:rPr>
              <w:t>TBD</w:t>
            </w:r>
          </w:p>
        </w:tc>
        <w:tc>
          <w:tcPr>
            <w:tcW w:type="dxa" w:w="3312"/>
            <w:vAlign w:val="center"/>
            <w:tcMar>
              <w:top w:w="70" w:type="dxa"/>
              <w:start w:w="90" w:type="dxa"/>
              <w:bottom w:w="70" w:type="dxa"/>
              <w:end w:w="90" w:type="dxa"/>
            </w:tcMar>
          </w:tcPr>
          <w:p>
            <w:pPr>
              <w:spacing w:after="0" w:before="0"/>
            </w:pPr>
            <w:r>
              <w:rPr>
                <w:rFonts w:ascii="Aptos" w:hAnsi="Aptos"/>
                <w:sz w:val="16"/>
              </w:rPr>
              <w:t>Depends on entity status, PA registrations, accountant/legal help.</w:t>
            </w:r>
          </w:p>
        </w:tc>
      </w:tr>
      <w:tr>
        <w:trPr>
          <w:cantSplit/>
        </w:trPr>
        <w:tc>
          <w:tcPr>
            <w:tcW w:type="dxa" w:w="2448"/>
            <w:vAlign w:val="center"/>
            <w:tcMar>
              <w:top w:w="70" w:type="dxa"/>
              <w:start w:w="90" w:type="dxa"/>
              <w:bottom w:w="70" w:type="dxa"/>
              <w:end w:w="90" w:type="dxa"/>
            </w:tcMar>
            <w:shd w:fill="F5F7F8"/>
          </w:tcPr>
          <w:p>
            <w:pPr>
              <w:spacing w:after="0" w:before="0"/>
            </w:pPr>
            <w:r>
              <w:rPr>
                <w:rFonts w:ascii="Aptos" w:hAnsi="Aptos"/>
                <w:sz w:val="16"/>
              </w:rPr>
              <w:t>Initial ad testing</w:t>
            </w:r>
          </w:p>
        </w:tc>
        <w:tc>
          <w:tcPr>
            <w:tcW w:type="dxa" w:w="1872"/>
            <w:vAlign w:val="center"/>
            <w:tcMar>
              <w:top w:w="70" w:type="dxa"/>
              <w:start w:w="90" w:type="dxa"/>
              <w:bottom w:w="70" w:type="dxa"/>
              <w:end w:w="90" w:type="dxa"/>
            </w:tcMar>
            <w:shd w:fill="F5F7F8"/>
          </w:tcPr>
          <w:p>
            <w:pPr>
              <w:spacing w:after="0" w:before="0"/>
            </w:pPr>
            <w:r>
              <w:rPr>
                <w:rFonts w:ascii="Aptos" w:hAnsi="Aptos"/>
                <w:sz w:val="16"/>
              </w:rPr>
              <w:t>Optional</w:t>
            </w:r>
          </w:p>
        </w:tc>
        <w:tc>
          <w:tcPr>
            <w:tcW w:type="dxa" w:w="1728"/>
            <w:vAlign w:val="center"/>
            <w:tcMar>
              <w:top w:w="70" w:type="dxa"/>
              <w:start w:w="90" w:type="dxa"/>
              <w:bottom w:w="70" w:type="dxa"/>
              <w:end w:w="90" w:type="dxa"/>
            </w:tcMar>
            <w:shd w:fill="F5F7F8"/>
          </w:tcPr>
          <w:p>
            <w:pPr>
              <w:spacing w:after="0" w:before="0"/>
            </w:pPr>
            <w:r>
              <w:rPr>
                <w:rFonts w:ascii="Aptos" w:hAnsi="Aptos"/>
                <w:sz w:val="16"/>
              </w:rPr>
              <w:t>$0 prelaunch</w:t>
            </w:r>
          </w:p>
        </w:tc>
        <w:tc>
          <w:tcPr>
            <w:tcW w:type="dxa" w:w="3312"/>
            <w:vAlign w:val="center"/>
            <w:tcMar>
              <w:top w:w="70" w:type="dxa"/>
              <w:start w:w="90" w:type="dxa"/>
              <w:bottom w:w="70" w:type="dxa"/>
              <w:end w:w="90" w:type="dxa"/>
            </w:tcMar>
            <w:shd w:fill="F5F7F8"/>
          </w:tcPr>
          <w:p>
            <w:pPr>
              <w:spacing w:after="0" w:before="0"/>
            </w:pPr>
            <w:r>
              <w:rPr>
                <w:rFonts w:ascii="Aptos" w:hAnsi="Aptos"/>
                <w:sz w:val="16"/>
              </w:rPr>
              <w:t>Do not spend materially until fulfillment and contribution data are proven.</w:t>
            </w:r>
          </w:p>
        </w:tc>
      </w:tr>
    </w:tbl>
    <w:tbl>
      <w:tblPr>
        <w:tblW w:type="auto" w:w="0"/>
        <w:jc w:val="center"/>
        <w:tblLayout w:type="autofit"/>
        <w:tblLook w:firstColumn="1" w:firstRow="1" w:lastColumn="0" w:lastRow="0" w:noHBand="0" w:noVBand="1" w:val="04A0"/>
      </w:tblPr>
      <w:tblGrid>
        <w:gridCol w:w="10166"/>
      </w:tblGrid>
      <w:tr>
        <w:trPr>
          <w:cantSplit/>
          <w:tblHeader w:val="true"/>
        </w:trPr>
        <w:tc>
          <w:tcPr>
            <w:tcW w:type="dxa" w:w="10166"/>
            <w:shd w:fill="EEF3F1"/>
            <w:tcMar>
              <w:top w:w="120" w:type="dxa"/>
              <w:start w:w="130" w:type="dxa"/>
              <w:bottom w:w="120" w:type="dxa"/>
              <w:end w:w="130" w:type="dxa"/>
            </w:tcMar>
          </w:tcPr>
          <w:p>
            <w:pPr>
              <w:pStyle w:val="Callout"/>
            </w:pPr>
            <w:r>
              <w:rPr>
                <w:b/>
                <w:color w:val="4D766E"/>
              </w:rPr>
              <w:t xml:space="preserve">Planning total: </w:t>
            </w:r>
            <w:r>
              <w:rPr>
                <w:b w:val="0"/>
                <w:color w:val="20262C"/>
              </w:rPr>
              <w:t>Expect roughly $200–$300 of first-month fixed infrastructure/software outlay before business/legal filings and supplier working capital. Ongoing fixed infrastructure is roughly $80–$115/month at the benchmark VPS sizes, before card processing, supplier purchases, tax, and advertising.</w:t>
            </w:r>
          </w:p>
        </w:tc>
      </w:tr>
    </w:tbl>
    <w:p>
      <w:pPr>
        <w:spacing w:after="0"/>
      </w:pPr>
    </w:p>
    <w:p>
      <w:pPr>
        <w:pStyle w:val="Heading2"/>
      </w:pPr>
      <w:r>
        <w:t>Working capital</w:t>
      </w:r>
    </w:p>
    <w:p>
      <w:r>
        <w:rPr>
          <w:b/>
        </w:rPr>
        <w:t xml:space="preserve">Supplier float is not the same as an expense. </w:t>
      </w:r>
      <w:r>
        <w:t>The store needs enough available cash/debit capacity to pay BooksRun/Ingram while customer funds are authorized/captured and payouts settle. Start small, keep order caps conservative, and let the purchasing fund grow before increasing traffic.</w:t>
      </w:r>
    </w:p>
    <w:p>
      <w:pPr>
        <w:pStyle w:val="Heading1"/>
      </w:pPr>
      <w:r>
        <w:t>8. Launch Gates — Do Not Go Public Until These Pass</w:t>
      </w:r>
    </w:p>
    <w:p>
      <w:pPr>
        <w:pStyle w:val="ListBullet"/>
        <w:spacing w:after="50"/>
      </w:pPr>
      <w:r>
        <w:t>Production deployment is reproducible from Git and does not depend on undocumented manual edits.</w:t>
      </w:r>
    </w:p>
    <w:p>
      <w:pPr>
        <w:pStyle w:val="ListBullet"/>
        <w:spacing w:after="50"/>
      </w:pPr>
      <w:r>
        <w:t>Production and staging databases, secrets, payment credentials, and email destinations are isolated.</w:t>
      </w:r>
    </w:p>
    <w:p>
      <w:pPr>
        <w:pStyle w:val="ListBullet"/>
        <w:spacing w:after="50"/>
      </w:pPr>
      <w:r>
        <w:t>A full backup has been restored successfully into staging.</w:t>
      </w:r>
    </w:p>
    <w:p>
      <w:pPr>
        <w:pStyle w:val="ListBullet"/>
        <w:spacing w:after="50"/>
      </w:pPr>
      <w:r>
        <w:t>Helcim authorization, capture, void, and refund have all been tested.</w:t>
      </w:r>
    </w:p>
    <w:p>
      <w:pPr>
        <w:pStyle w:val="ListBullet"/>
        <w:spacing w:after="50"/>
      </w:pPr>
      <w:r>
        <w:t>BooksRun live price/stock recheck works and cannot double-submit an order.</w:t>
      </w:r>
    </w:p>
    <w:p>
      <w:pPr>
        <w:pStyle w:val="ListBullet"/>
        <w:spacing w:after="50"/>
      </w:pPr>
      <w:r>
        <w:t>Ingram ordering path is tested or explicitly deferred without breaking supplier routing.</w:t>
      </w:r>
    </w:p>
    <w:p>
      <w:pPr>
        <w:pStyle w:val="ListBullet"/>
        <w:spacing w:after="50"/>
      </w:pPr>
      <w:r>
        <w:t>A supplier price increase/out-of-stock event produces a safe hold, fallback, or void.</w:t>
      </w:r>
    </w:p>
    <w:p>
      <w:pPr>
        <w:pStyle w:val="ListBullet"/>
        <w:spacing w:after="50"/>
      </w:pPr>
      <w:r>
        <w:t>25% pricing logic and $25/$15 shipping thresholds have automated tests.</w:t>
      </w:r>
    </w:p>
    <w:p>
      <w:pPr>
        <w:pStyle w:val="ListBullet"/>
        <w:spacing w:after="50"/>
      </w:pPr>
      <w:r>
        <w:t>Member signup and marketing preferences work on mobile.</w:t>
      </w:r>
    </w:p>
    <w:p>
      <w:pPr>
        <w:pStyle w:val="ListBullet"/>
        <w:spacing w:after="50"/>
      </w:pPr>
      <w:r>
        <w:t>Tax calculation is verified for representative destinations.</w:t>
      </w:r>
    </w:p>
    <w:p>
      <w:pPr>
        <w:pStyle w:val="ListBullet"/>
        <w:spacing w:after="50"/>
      </w:pPr>
      <w:r>
        <w:t>Order/shipping/refund emails are authenticated and delivered reliably.</w:t>
      </w:r>
    </w:p>
    <w:p>
      <w:pPr>
        <w:pStyle w:val="ListBullet"/>
        <w:spacing w:after="50"/>
      </w:pPr>
      <w:r>
        <w:t>Privacy, terms, returns, shipping, and condition pages are published.</w:t>
      </w:r>
    </w:p>
    <w:p>
      <w:pPr>
        <w:pStyle w:val="ListBullet"/>
        <w:spacing w:after="50"/>
      </w:pPr>
      <w:r>
        <w:t>Monitoring alerts have been intentionally triggered at least once.</w:t>
      </w:r>
    </w:p>
    <w:p>
      <w:pPr>
        <w:pStyle w:val="ListBullet"/>
        <w:spacing w:after="50"/>
      </w:pPr>
      <w:r>
        <w:t>Checkout works on current Android/iPhone-sized screens and desktop.</w:t>
      </w:r>
    </w:p>
    <w:p>
      <w:pPr>
        <w:pStyle w:val="ListBullet"/>
        <w:spacing w:after="50"/>
      </w:pPr>
      <w:r>
        <w:t>No staging URLs are publicly indexed.</w:t>
      </w:r>
    </w:p>
    <w:p>
      <w:pPr>
        <w:pStyle w:val="ListBullet"/>
        <w:spacing w:after="50"/>
      </w:pPr>
      <w:r>
        <w:t>At least several controlled real orders have completed from payment through delivery/tracking.</w:t>
      </w:r>
    </w:p>
    <w:p>
      <w:pPr>
        <w:pStyle w:val="Heading1"/>
      </w:pPr>
      <w:r>
        <w:t>9. Recommended Soft-Launch Strategy</w:t>
      </w:r>
    </w:p>
    <w:p>
      <w:pPr>
        <w:pStyle w:val="ListBullet"/>
        <w:spacing w:after="50"/>
      </w:pPr>
      <w:r>
        <w:t>Launch with a deliberately limited live catalog rather than importing everything immediately.</w:t>
      </w:r>
    </w:p>
    <w:p>
      <w:pPr>
        <w:pStyle w:val="ListBullet"/>
        <w:spacing w:after="50"/>
      </w:pPr>
      <w:r>
        <w:t>Keep daily order volume capped while validating BooksRun cancellations, tracking latency, condition complaints, and real Helcim fees.</w:t>
      </w:r>
    </w:p>
    <w:p>
      <w:pPr>
        <w:pStyle w:val="ListBullet"/>
        <w:spacing w:after="50"/>
      </w:pPr>
      <w:r>
        <w:t>Review every exception manually; normal successful orders should require little or no human action.</w:t>
      </w:r>
    </w:p>
    <w:p>
      <w:pPr>
        <w:pStyle w:val="ListBullet"/>
        <w:spacing w:after="50"/>
      </w:pPr>
      <w:r>
        <w:t>Track actual contribution by supplier, condition, genre/category, and order size.</w:t>
      </w:r>
    </w:p>
    <w:p>
      <w:pPr>
        <w:pStyle w:val="ListBullet"/>
        <w:spacing w:after="50"/>
      </w:pPr>
      <w:r>
        <w:t>Only expand paid advertising after real orders show that supplier shipping, payment fees, refunds, and customer service still leave acceptable contribution.</w:t>
      </w:r>
    </w:p>
    <w:p>
      <w:pPr>
        <w:pStyle w:val="ListBullet"/>
        <w:spacing w:after="50"/>
      </w:pPr>
      <w:r>
        <w:t>Expand catalog in measured steps (for example 2k → 10k → 50k works) while watching search latency, DB load, queue depth, and conversion.</w:t>
      </w:r>
    </w:p>
    <w:p>
      <w:pPr>
        <w:pStyle w:val="Heading1"/>
      </w:pPr>
      <w:r>
        <w:t>10. Post-Launch Backlog (Not Launch Blockers)</w:t>
      </w:r>
    </w:p>
    <w:tbl>
      <w:tblPr>
        <w:tblStyle w:val="TableGrid"/>
        <w:tblW w:type="auto" w:w="0"/>
        <w:jc w:val="center"/>
        <w:tblLook w:firstColumn="1" w:firstRow="1" w:lastColumn="0" w:lastRow="0" w:noHBand="0" w:noVBand="1" w:val="04A0"/>
      </w:tblPr>
      <w:tblGrid>
        <w:gridCol w:w="5083"/>
        <w:gridCol w:w="5083"/>
      </w:tblGrid>
      <w:tr>
        <w:trPr>
          <w:cantSplit/>
          <w:tblHeader w:val="true"/>
        </w:trPr>
        <w:tc>
          <w:tcPr>
            <w:tcW w:type="dxa" w:w="3528"/>
            <w:vAlign w:val="center"/>
            <w:tcMar>
              <w:top w:w="70" w:type="dxa"/>
              <w:start w:w="90" w:type="dxa"/>
              <w:bottom w:w="70" w:type="dxa"/>
              <w:end w:w="90" w:type="dxa"/>
            </w:tcMar>
            <w:shd w:fill="24364B"/>
          </w:tcPr>
          <w:p>
            <w:pPr>
              <w:spacing w:after="0" w:before="0"/>
            </w:pPr>
            <w:r>
              <w:rPr>
                <w:rFonts w:ascii="Aptos" w:hAnsi="Aptos"/>
                <w:b/>
                <w:color w:val="FFFFFF"/>
                <w:sz w:val="16"/>
              </w:rPr>
              <w:t>Backlog item</w:t>
            </w:r>
          </w:p>
        </w:tc>
        <w:tc>
          <w:tcPr>
            <w:tcW w:type="dxa" w:w="5832"/>
            <w:vAlign w:val="center"/>
            <w:tcMar>
              <w:top w:w="70" w:type="dxa"/>
              <w:start w:w="90" w:type="dxa"/>
              <w:bottom w:w="70" w:type="dxa"/>
              <w:end w:w="90" w:type="dxa"/>
            </w:tcMar>
            <w:shd w:fill="24364B"/>
          </w:tcPr>
          <w:p>
            <w:pPr>
              <w:spacing w:after="0" w:before="0"/>
            </w:pPr>
            <w:r>
              <w:rPr>
                <w:rFonts w:ascii="Aptos" w:hAnsi="Aptos"/>
                <w:b/>
                <w:color w:val="FFFFFF"/>
                <w:sz w:val="16"/>
              </w:rPr>
              <w:t>Purpose</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MailerLite recommendation automation</w:t>
            </w:r>
          </w:p>
        </w:tc>
        <w:tc>
          <w:tcPr>
            <w:tcW w:type="dxa" w:w="5832"/>
            <w:vAlign w:val="center"/>
            <w:tcMar>
              <w:top w:w="70" w:type="dxa"/>
              <w:start w:w="90" w:type="dxa"/>
              <w:bottom w:w="70" w:type="dxa"/>
              <w:end w:w="90" w:type="dxa"/>
            </w:tcMar>
          </w:tcPr>
          <w:p>
            <w:pPr>
              <w:spacing w:after="0" w:before="0"/>
            </w:pPr>
            <w:r>
              <w:rPr>
                <w:rFonts w:ascii="Aptos" w:hAnsi="Aptos"/>
                <w:sz w:val="16"/>
              </w:rPr>
              <w:t>Segment/rule-based email recommendations without AI.</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Hardcover integration</w:t>
            </w:r>
          </w:p>
        </w:tc>
        <w:tc>
          <w:tcPr>
            <w:tcW w:type="dxa" w:w="5832"/>
            <w:vAlign w:val="center"/>
            <w:tcMar>
              <w:top w:w="70" w:type="dxa"/>
              <w:start w:w="90" w:type="dxa"/>
              <w:bottom w:w="70" w:type="dxa"/>
              <w:end w:w="90" w:type="dxa"/>
            </w:tcMar>
            <w:shd w:fill="F5F7F8"/>
          </w:tcPr>
          <w:p>
            <w:pPr>
              <w:spacing w:after="0" w:before="0"/>
            </w:pPr>
            <w:r>
              <w:rPr>
                <w:rFonts w:ascii="Aptos" w:hAnsi="Aptos"/>
                <w:sz w:val="16"/>
              </w:rPr>
              <w:t>Only after commercial/API permission is clear.</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Google Merchant Center</w:t>
            </w:r>
          </w:p>
        </w:tc>
        <w:tc>
          <w:tcPr>
            <w:tcW w:type="dxa" w:w="5832"/>
            <w:vAlign w:val="center"/>
            <w:tcMar>
              <w:top w:w="70" w:type="dxa"/>
              <w:start w:w="90" w:type="dxa"/>
              <w:bottom w:w="70" w:type="dxa"/>
              <w:end w:w="90" w:type="dxa"/>
            </w:tcMar>
          </w:tcPr>
          <w:p>
            <w:pPr>
              <w:spacing w:after="0" w:before="0"/>
            </w:pPr>
            <w:r>
              <w:rPr>
                <w:rFonts w:ascii="Aptos" w:hAnsi="Aptos"/>
                <w:sz w:val="16"/>
              </w:rPr>
              <w:t>Free listings and shopping feed after catalog quality is stable.</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Meta advertising/catalog</w:t>
            </w:r>
          </w:p>
        </w:tc>
        <w:tc>
          <w:tcPr>
            <w:tcW w:type="dxa" w:w="5832"/>
            <w:vAlign w:val="center"/>
            <w:tcMar>
              <w:top w:w="70" w:type="dxa"/>
              <w:start w:w="90" w:type="dxa"/>
              <w:bottom w:w="70" w:type="dxa"/>
              <w:end w:w="90" w:type="dxa"/>
            </w:tcMar>
            <w:shd w:fill="F5F7F8"/>
          </w:tcPr>
          <w:p>
            <w:pPr>
              <w:spacing w:after="0" w:before="0"/>
            </w:pPr>
            <w:r>
              <w:rPr>
                <w:rFonts w:ascii="Aptos" w:hAnsi="Aptos"/>
                <w:sz w:val="16"/>
              </w:rPr>
              <w:t>Retargeting and themed collection campaigns.</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Crypto / BTCPay Server</w:t>
            </w:r>
          </w:p>
        </w:tc>
        <w:tc>
          <w:tcPr>
            <w:tcW w:type="dxa" w:w="5832"/>
            <w:vAlign w:val="center"/>
            <w:tcMar>
              <w:top w:w="70" w:type="dxa"/>
              <w:start w:w="90" w:type="dxa"/>
              <w:bottom w:w="70" w:type="dxa"/>
              <w:end w:w="90" w:type="dxa"/>
            </w:tcMar>
          </w:tcPr>
          <w:p>
            <w:pPr>
              <w:spacing w:after="0" w:before="0"/>
            </w:pPr>
            <w:r>
              <w:rPr>
                <w:rFonts w:ascii="Aptos" w:hAnsi="Aptos"/>
                <w:sz w:val="16"/>
              </w:rPr>
              <w:t>Add once operating float can absorb delayed conversion.</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Advanced search service</w:t>
            </w:r>
          </w:p>
        </w:tc>
        <w:tc>
          <w:tcPr>
            <w:tcW w:type="dxa" w:w="5832"/>
            <w:vAlign w:val="center"/>
            <w:tcMar>
              <w:top w:w="70" w:type="dxa"/>
              <w:start w:w="90" w:type="dxa"/>
              <w:bottom w:w="70" w:type="dxa"/>
              <w:end w:w="90" w:type="dxa"/>
            </w:tcMar>
            <w:shd w:fill="F5F7F8"/>
          </w:tcPr>
          <w:p>
            <w:pPr>
              <w:spacing w:after="0" w:before="0"/>
            </w:pPr>
            <w:r>
              <w:rPr>
                <w:rFonts w:ascii="Aptos" w:hAnsi="Aptos"/>
                <w:sz w:val="16"/>
              </w:rPr>
              <w:t>Meilisearch/OpenSearch if staging/production metrics justify it.</w:t>
            </w:r>
          </w:p>
        </w:tc>
      </w:tr>
      <w:tr>
        <w:trPr>
          <w:cantSplit/>
        </w:trPr>
        <w:tc>
          <w:tcPr>
            <w:tcW w:type="dxa" w:w="3528"/>
            <w:vAlign w:val="center"/>
            <w:tcMar>
              <w:top w:w="70" w:type="dxa"/>
              <w:start w:w="90" w:type="dxa"/>
              <w:bottom w:w="70" w:type="dxa"/>
              <w:end w:w="90" w:type="dxa"/>
            </w:tcMar>
          </w:tcPr>
          <w:p>
            <w:pPr>
              <w:spacing w:after="0" w:before="0"/>
            </w:pPr>
            <w:r>
              <w:rPr>
                <w:rFonts w:ascii="Aptos" w:hAnsi="Aptos"/>
                <w:sz w:val="16"/>
              </w:rPr>
              <w:t>In-house POD</w:t>
            </w:r>
          </w:p>
        </w:tc>
        <w:tc>
          <w:tcPr>
            <w:tcW w:type="dxa" w:w="5832"/>
            <w:vAlign w:val="center"/>
            <w:tcMar>
              <w:top w:w="70" w:type="dxa"/>
              <w:start w:w="90" w:type="dxa"/>
              <w:bottom w:w="70" w:type="dxa"/>
              <w:end w:w="90" w:type="dxa"/>
            </w:tcMar>
          </w:tcPr>
          <w:p>
            <w:pPr>
              <w:spacing w:after="0" w:before="0"/>
            </w:pPr>
            <w:r>
              <w:rPr>
                <w:rFonts w:ascii="Aptos" w:hAnsi="Aptos"/>
                <w:sz w:val="16"/>
              </w:rPr>
              <w:t>Public-domain/authorized indie editions as a later business line.</w:t>
            </w:r>
          </w:p>
        </w:tc>
      </w:tr>
      <w:tr>
        <w:trPr>
          <w:cantSplit/>
        </w:trPr>
        <w:tc>
          <w:tcPr>
            <w:tcW w:type="dxa" w:w="3528"/>
            <w:vAlign w:val="center"/>
            <w:tcMar>
              <w:top w:w="70" w:type="dxa"/>
              <w:start w:w="90" w:type="dxa"/>
              <w:bottom w:w="70" w:type="dxa"/>
              <w:end w:w="90" w:type="dxa"/>
            </w:tcMar>
            <w:shd w:fill="F5F7F8"/>
          </w:tcPr>
          <w:p>
            <w:pPr>
              <w:spacing w:after="0" w:before="0"/>
            </w:pPr>
            <w:r>
              <w:rPr>
                <w:rFonts w:ascii="Aptos" w:hAnsi="Aptos"/>
                <w:sz w:val="16"/>
              </w:rPr>
              <w:t>Supplier optimization</w:t>
            </w:r>
          </w:p>
        </w:tc>
        <w:tc>
          <w:tcPr>
            <w:tcW w:type="dxa" w:w="5832"/>
            <w:vAlign w:val="center"/>
            <w:tcMar>
              <w:top w:w="70" w:type="dxa"/>
              <w:start w:w="90" w:type="dxa"/>
              <w:bottom w:w="70" w:type="dxa"/>
              <w:end w:w="90" w:type="dxa"/>
            </w:tcMar>
            <w:shd w:fill="F5F7F8"/>
          </w:tcPr>
          <w:p>
            <w:pPr>
              <w:spacing w:after="0" w:before="0"/>
            </w:pPr>
            <w:r>
              <w:rPr>
                <w:rFonts w:ascii="Aptos" w:hAnsi="Aptos"/>
                <w:sz w:val="16"/>
              </w:rPr>
              <w:t>Route between BooksRun, Ingram, and future direct/publisher sources based on live landed cost.</w:t>
            </w:r>
          </w:p>
        </w:tc>
      </w:tr>
    </w:tbl>
    <w:p>
      <w:pPr>
        <w:pStyle w:val="Heading1"/>
      </w:pPr>
      <w:r>
        <w:t>11. Remaining Decisions Before Week 4</w:t>
      </w:r>
    </w:p>
    <w:p>
      <w:pPr>
        <w:pStyle w:val="ListBullet"/>
        <w:spacing w:after="50"/>
      </w:pPr>
      <w:r>
        <w:t>Final VPS provider (benchmark sizing is known; provider should also be screened against vendor criteria before commitment).</w:t>
      </w:r>
    </w:p>
    <w:p>
      <w:pPr>
        <w:pStyle w:val="ListBullet"/>
        <w:spacing w:after="50"/>
      </w:pPr>
      <w:r>
        <w:t>Production transactional-email provider.</w:t>
      </w:r>
    </w:p>
    <w:p>
      <w:pPr>
        <w:pStyle w:val="ListBullet"/>
        <w:spacing w:after="50"/>
      </w:pPr>
      <w:r>
        <w:t>Exact customer shipping charge below the free-shipping threshold.</w:t>
      </w:r>
    </w:p>
    <w:p>
      <w:pPr>
        <w:pStyle w:val="ListBullet"/>
        <w:spacing w:after="50"/>
      </w:pPr>
      <w:r>
        <w:t>Whether Ingram is mandatory for day-one public launch or can follow immediately after BooksRun soft launch.</w:t>
      </w:r>
    </w:p>
    <w:p>
      <w:pPr>
        <w:pStyle w:val="ListBullet"/>
        <w:spacing w:after="50"/>
      </w:pPr>
      <w:r>
        <w:t>Production metadata enrichment source for descriptions/work grouping when BooksRun/Ingram data is incomplete.</w:t>
      </w:r>
    </w:p>
    <w:p>
      <w:pPr>
        <w:pStyle w:val="ListBullet"/>
        <w:spacing w:after="50"/>
      </w:pPr>
      <w:r>
        <w:t>Exact initial live-catalog size and first categories to emphasize.</w:t>
      </w:r>
    </w:p>
    <w:p>
      <w:pPr>
        <w:pStyle w:val="Heading1"/>
      </w:pPr>
      <w:r>
        <w:t>Appendix A — Current Cost/Capability References</w:t>
      </w:r>
    </w:p>
    <w:tbl>
      <w:tblPr>
        <w:tblStyle w:val="TableGrid"/>
        <w:tblW w:type="auto" w:w="0"/>
        <w:jc w:val="center"/>
        <w:tblLook w:firstColumn="1" w:firstRow="1" w:lastColumn="0" w:lastRow="0" w:noHBand="0" w:noVBand="1" w:val="04A0"/>
      </w:tblPr>
      <w:tblGrid>
        <w:gridCol w:w="3389"/>
        <w:gridCol w:w="3389"/>
        <w:gridCol w:w="3389"/>
      </w:tblGrid>
      <w:tr>
        <w:trPr>
          <w:cantSplit/>
          <w:tblHeader w:val="true"/>
        </w:trPr>
        <w:tc>
          <w:tcPr>
            <w:tcW w:type="dxa" w:w="1944"/>
            <w:vAlign w:val="center"/>
            <w:tcMar>
              <w:top w:w="70" w:type="dxa"/>
              <w:start w:w="90" w:type="dxa"/>
              <w:bottom w:w="70" w:type="dxa"/>
              <w:end w:w="90" w:type="dxa"/>
            </w:tcMar>
            <w:shd w:fill="24364B"/>
          </w:tcPr>
          <w:p>
            <w:pPr>
              <w:spacing w:after="0" w:before="0"/>
            </w:pPr>
            <w:r>
              <w:rPr>
                <w:rFonts w:ascii="Aptos" w:hAnsi="Aptos"/>
                <w:b/>
                <w:color w:val="FFFFFF"/>
                <w:sz w:val="16"/>
              </w:rPr>
              <w:t>Source</w:t>
            </w:r>
          </w:p>
        </w:tc>
        <w:tc>
          <w:tcPr>
            <w:tcW w:type="dxa" w:w="5184"/>
            <w:vAlign w:val="center"/>
            <w:tcMar>
              <w:top w:w="70" w:type="dxa"/>
              <w:start w:w="90" w:type="dxa"/>
              <w:bottom w:w="70" w:type="dxa"/>
              <w:end w:w="90" w:type="dxa"/>
            </w:tcMar>
            <w:shd w:fill="24364B"/>
          </w:tcPr>
          <w:p>
            <w:pPr>
              <w:spacing w:after="0" w:before="0"/>
            </w:pPr>
            <w:r>
              <w:rPr>
                <w:rFonts w:ascii="Aptos" w:hAnsi="Aptos"/>
                <w:b/>
                <w:color w:val="FFFFFF"/>
                <w:sz w:val="16"/>
              </w:rPr>
              <w:t>Planning fact</w:t>
            </w:r>
          </w:p>
        </w:tc>
        <w:tc>
          <w:tcPr>
            <w:tcW w:type="dxa" w:w="2880"/>
            <w:vAlign w:val="center"/>
            <w:tcMar>
              <w:top w:w="70" w:type="dxa"/>
              <w:start w:w="90" w:type="dxa"/>
              <w:bottom w:w="70" w:type="dxa"/>
              <w:end w:w="90" w:type="dxa"/>
            </w:tcMar>
            <w:shd w:fill="24364B"/>
          </w:tcPr>
          <w:p>
            <w:pPr>
              <w:spacing w:after="0" w:before="0"/>
            </w:pPr>
            <w:r>
              <w:rPr>
                <w:rFonts w:ascii="Aptos" w:hAnsi="Aptos"/>
                <w:b/>
                <w:color w:val="FFFFFF"/>
                <w:sz w:val="16"/>
              </w:rPr>
              <w:t>Reference</w:t>
            </w:r>
          </w:p>
        </w:tc>
      </w:tr>
      <w:tr>
        <w:trPr>
          <w:cantSplit/>
        </w:trPr>
        <w:tc>
          <w:tcPr>
            <w:tcW w:type="dxa" w:w="1944"/>
            <w:vAlign w:val="center"/>
            <w:tcMar>
              <w:top w:w="70" w:type="dxa"/>
              <w:start w:w="90" w:type="dxa"/>
              <w:bottom w:w="70" w:type="dxa"/>
              <w:end w:w="90" w:type="dxa"/>
            </w:tcMar>
          </w:tcPr>
          <w:p>
            <w:pPr>
              <w:spacing w:after="0" w:before="0"/>
            </w:pPr>
            <w:r>
              <w:rPr>
                <w:rFonts w:ascii="Aptos" w:hAnsi="Aptos"/>
                <w:sz w:val="16"/>
              </w:rPr>
              <w:t>Blocksy Book Store</w:t>
            </w:r>
          </w:p>
        </w:tc>
        <w:tc>
          <w:tcPr>
            <w:tcW w:type="dxa" w:w="5184"/>
            <w:vAlign w:val="center"/>
            <w:tcMar>
              <w:top w:w="70" w:type="dxa"/>
              <w:start w:w="90" w:type="dxa"/>
              <w:bottom w:w="70" w:type="dxa"/>
              <w:end w:w="90" w:type="dxa"/>
            </w:tcMar>
          </w:tcPr>
          <w:p>
            <w:pPr>
              <w:spacing w:after="0" w:before="0"/>
            </w:pPr>
            <w:r>
              <w:rPr>
                <w:rFonts w:ascii="Aptos" w:hAnsi="Aptos"/>
                <w:sz w:val="16"/>
              </w:rPr>
              <w:t>Book Store is a Pro starter site requiring Business/Agency; Business is $99/year.</w:t>
            </w:r>
          </w:p>
        </w:tc>
        <w:tc>
          <w:tcPr>
            <w:tcW w:type="dxa" w:w="2880"/>
            <w:vAlign w:val="center"/>
            <w:tcMar>
              <w:top w:w="70" w:type="dxa"/>
              <w:start w:w="90" w:type="dxa"/>
              <w:bottom w:w="70" w:type="dxa"/>
              <w:end w:w="90" w:type="dxa"/>
            </w:tcMar>
          </w:tcPr>
          <w:p>
            <w:pPr>
              <w:spacing w:after="0" w:before="0"/>
            </w:pPr>
            <w:r>
              <w:rPr>
                <w:rFonts w:ascii="Aptos" w:hAnsi="Aptos"/>
                <w:sz w:val="16"/>
              </w:rPr>
              <w:t>https://creativethemes.com/blocksy/starter-site/book-store/ ; https://creativethemes.com/blocksy/pricing/</w:t>
            </w:r>
          </w:p>
        </w:tc>
      </w:tr>
      <w:tr>
        <w:trPr>
          <w:cantSplit/>
        </w:trPr>
        <w:tc>
          <w:tcPr>
            <w:tcW w:type="dxa" w:w="1944"/>
            <w:vAlign w:val="center"/>
            <w:tcMar>
              <w:top w:w="70" w:type="dxa"/>
              <w:start w:w="90" w:type="dxa"/>
              <w:bottom w:w="70" w:type="dxa"/>
              <w:end w:w="90" w:type="dxa"/>
            </w:tcMar>
            <w:shd w:fill="F5F7F8"/>
          </w:tcPr>
          <w:p>
            <w:pPr>
              <w:spacing w:after="0" w:before="0"/>
            </w:pPr>
            <w:r>
              <w:rPr>
                <w:rFonts w:ascii="Aptos" w:hAnsi="Aptos"/>
                <w:sz w:val="16"/>
              </w:rPr>
              <w:t>DigitalOcean benchmark</w:t>
            </w:r>
          </w:p>
        </w:tc>
        <w:tc>
          <w:tcPr>
            <w:tcW w:type="dxa" w:w="5184"/>
            <w:vAlign w:val="center"/>
            <w:tcMar>
              <w:top w:w="70" w:type="dxa"/>
              <w:start w:w="90" w:type="dxa"/>
              <w:bottom w:w="70" w:type="dxa"/>
              <w:end w:w="90" w:type="dxa"/>
            </w:tcMar>
            <w:shd w:fill="F5F7F8"/>
          </w:tcPr>
          <w:p>
            <w:pPr>
              <w:spacing w:after="0" w:before="0"/>
            </w:pPr>
            <w:r>
              <w:rPr>
                <w:rFonts w:ascii="Aptos" w:hAnsi="Aptos"/>
                <w:sz w:val="16"/>
              </w:rPr>
              <w:t>Basic 4 vCPU / 8 GB / 160 GB / 5 TB = $48/mo; 2 vCPU / 4 GB / 80 GB / 4 TB = $24/mo.</w:t>
            </w:r>
          </w:p>
        </w:tc>
        <w:tc>
          <w:tcPr>
            <w:tcW w:type="dxa" w:w="2880"/>
            <w:vAlign w:val="center"/>
            <w:tcMar>
              <w:top w:w="70" w:type="dxa"/>
              <w:start w:w="90" w:type="dxa"/>
              <w:bottom w:w="70" w:type="dxa"/>
              <w:end w:w="90" w:type="dxa"/>
            </w:tcMar>
            <w:shd w:fill="F5F7F8"/>
          </w:tcPr>
          <w:p>
            <w:pPr>
              <w:spacing w:after="0" w:before="0"/>
            </w:pPr>
            <w:r>
              <w:rPr>
                <w:rFonts w:ascii="Aptos" w:hAnsi="Aptos"/>
                <w:sz w:val="16"/>
              </w:rPr>
              <w:t>https://www.digitalocean.com/pricing/droplets</w:t>
            </w:r>
          </w:p>
        </w:tc>
      </w:tr>
      <w:tr>
        <w:trPr>
          <w:cantSplit/>
        </w:trPr>
        <w:tc>
          <w:tcPr>
            <w:tcW w:type="dxa" w:w="1944"/>
            <w:vAlign w:val="center"/>
            <w:tcMar>
              <w:top w:w="70" w:type="dxa"/>
              <w:start w:w="90" w:type="dxa"/>
              <w:bottom w:w="70" w:type="dxa"/>
              <w:end w:w="90" w:type="dxa"/>
            </w:tcMar>
          </w:tcPr>
          <w:p>
            <w:pPr>
              <w:spacing w:after="0" w:before="0"/>
            </w:pPr>
            <w:r>
              <w:rPr>
                <w:rFonts w:ascii="Aptos" w:hAnsi="Aptos"/>
                <w:sz w:val="16"/>
              </w:rPr>
              <w:t>Helcim</w:t>
            </w:r>
          </w:p>
        </w:tc>
        <w:tc>
          <w:tcPr>
            <w:tcW w:type="dxa" w:w="5184"/>
            <w:vAlign w:val="center"/>
            <w:tcMar>
              <w:top w:w="70" w:type="dxa"/>
              <w:start w:w="90" w:type="dxa"/>
              <w:bottom w:w="70" w:type="dxa"/>
              <w:end w:w="90" w:type="dxa"/>
            </w:tcMar>
          </w:tcPr>
          <w:p>
            <w:pPr>
              <w:spacing w:after="0" w:before="0"/>
            </w:pPr>
            <w:r>
              <w:rPr>
                <w:rFonts w:ascii="Aptos" w:hAnsi="Aptos"/>
                <w:sz w:val="16"/>
              </w:rPr>
              <w:t>Online/keyed tier under $50k/month: interchange + 0.50% + $0.25; no fixed monthly processing fee.</w:t>
            </w:r>
          </w:p>
        </w:tc>
        <w:tc>
          <w:tcPr>
            <w:tcW w:type="dxa" w:w="2880"/>
            <w:vAlign w:val="center"/>
            <w:tcMar>
              <w:top w:w="70" w:type="dxa"/>
              <w:start w:w="90" w:type="dxa"/>
              <w:bottom w:w="70" w:type="dxa"/>
              <w:end w:w="90" w:type="dxa"/>
            </w:tcMar>
          </w:tcPr>
          <w:p>
            <w:pPr>
              <w:spacing w:after="0" w:before="0"/>
            </w:pPr>
            <w:r>
              <w:rPr>
                <w:rFonts w:ascii="Aptos" w:hAnsi="Aptos"/>
                <w:sz w:val="16"/>
              </w:rPr>
              <w:t>https://www.helcim.com/pricing/</w:t>
            </w:r>
          </w:p>
        </w:tc>
      </w:tr>
      <w:tr>
        <w:trPr>
          <w:cantSplit/>
        </w:trPr>
        <w:tc>
          <w:tcPr>
            <w:tcW w:type="dxa" w:w="1944"/>
            <w:vAlign w:val="center"/>
            <w:tcMar>
              <w:top w:w="70" w:type="dxa"/>
              <w:start w:w="90" w:type="dxa"/>
              <w:bottom w:w="70" w:type="dxa"/>
              <w:end w:w="90" w:type="dxa"/>
            </w:tcMar>
            <w:shd w:fill="F5F7F8"/>
          </w:tcPr>
          <w:p>
            <w:pPr>
              <w:spacing w:after="0" w:before="0"/>
            </w:pPr>
            <w:r>
              <w:rPr>
                <w:rFonts w:ascii="Aptos" w:hAnsi="Aptos"/>
                <w:sz w:val="16"/>
              </w:rPr>
              <w:t>Shop Defender</w:t>
            </w:r>
          </w:p>
        </w:tc>
        <w:tc>
          <w:tcPr>
            <w:tcW w:type="dxa" w:w="5184"/>
            <w:vAlign w:val="center"/>
            <w:tcMar>
              <w:top w:w="70" w:type="dxa"/>
              <w:start w:w="90" w:type="dxa"/>
              <w:bottom w:w="70" w:type="dxa"/>
              <w:end w:w="90" w:type="dxa"/>
            </w:tcMar>
            <w:shd w:fill="F5F7F8"/>
          </w:tcPr>
          <w:p>
            <w:pPr>
              <w:spacing w:after="0" w:before="0"/>
            </w:pPr>
            <w:r>
              <w:rPr>
                <w:rFonts w:ascii="Aptos" w:hAnsi="Aptos"/>
                <w:sz w:val="16"/>
              </w:rPr>
              <w:t>Local WooCommerce fraud extension: $39/year.</w:t>
            </w:r>
          </w:p>
        </w:tc>
        <w:tc>
          <w:tcPr>
            <w:tcW w:type="dxa" w:w="2880"/>
            <w:vAlign w:val="center"/>
            <w:tcMar>
              <w:top w:w="70" w:type="dxa"/>
              <w:start w:w="90" w:type="dxa"/>
              <w:bottom w:w="70" w:type="dxa"/>
              <w:end w:w="90" w:type="dxa"/>
            </w:tcMar>
            <w:shd w:fill="F5F7F8"/>
          </w:tcPr>
          <w:p>
            <w:pPr>
              <w:spacing w:after="0" w:before="0"/>
            </w:pPr>
            <w:r>
              <w:rPr>
                <w:rFonts w:ascii="Aptos" w:hAnsi="Aptos"/>
                <w:sz w:val="16"/>
              </w:rPr>
              <w:t>https://woocommerce.com/products/shop-defender/</w:t>
            </w:r>
          </w:p>
        </w:tc>
      </w:tr>
      <w:tr>
        <w:trPr>
          <w:cantSplit/>
        </w:trPr>
        <w:tc>
          <w:tcPr>
            <w:tcW w:type="dxa" w:w="1944"/>
            <w:vAlign w:val="center"/>
            <w:tcMar>
              <w:top w:w="70" w:type="dxa"/>
              <w:start w:w="90" w:type="dxa"/>
              <w:bottom w:w="70" w:type="dxa"/>
              <w:end w:w="90" w:type="dxa"/>
            </w:tcMar>
          </w:tcPr>
          <w:p>
            <w:pPr>
              <w:spacing w:after="0" w:before="0"/>
            </w:pPr>
            <w:r>
              <w:rPr>
                <w:rFonts w:ascii="Aptos" w:hAnsi="Aptos"/>
                <w:sz w:val="16"/>
              </w:rPr>
              <w:t>MailerLite</w:t>
            </w:r>
          </w:p>
        </w:tc>
        <w:tc>
          <w:tcPr>
            <w:tcW w:type="dxa" w:w="5184"/>
            <w:vAlign w:val="center"/>
            <w:tcMar>
              <w:top w:w="70" w:type="dxa"/>
              <w:start w:w="90" w:type="dxa"/>
              <w:bottom w:w="70" w:type="dxa"/>
              <w:end w:w="90" w:type="dxa"/>
            </w:tcMar>
          </w:tcPr>
          <w:p>
            <w:pPr>
              <w:spacing w:after="0" w:before="0"/>
            </w:pPr>
            <w:r>
              <w:rPr>
                <w:rFonts w:ascii="Aptos" w:hAnsi="Aptos"/>
                <w:sz w:val="16"/>
              </w:rPr>
              <w:t>Free: 250 subscribers / 2,500 monthly emails; paid plans start around $12/month.</w:t>
            </w:r>
          </w:p>
        </w:tc>
        <w:tc>
          <w:tcPr>
            <w:tcW w:type="dxa" w:w="2880"/>
            <w:vAlign w:val="center"/>
            <w:tcMar>
              <w:top w:w="70" w:type="dxa"/>
              <w:start w:w="90" w:type="dxa"/>
              <w:bottom w:w="70" w:type="dxa"/>
              <w:end w:w="90" w:type="dxa"/>
            </w:tcMar>
          </w:tcPr>
          <w:p>
            <w:pPr>
              <w:spacing w:after="0" w:before="0"/>
            </w:pPr>
            <w:r>
              <w:rPr>
                <w:rFonts w:ascii="Aptos" w:hAnsi="Aptos"/>
                <w:sz w:val="16"/>
              </w:rPr>
              <w:t>https://www.mailerlite.com/pricing</w:t>
            </w:r>
          </w:p>
        </w:tc>
      </w:tr>
      <w:tr>
        <w:trPr>
          <w:cantSplit/>
        </w:trPr>
        <w:tc>
          <w:tcPr>
            <w:tcW w:type="dxa" w:w="1944"/>
            <w:vAlign w:val="center"/>
            <w:tcMar>
              <w:top w:w="70" w:type="dxa"/>
              <w:start w:w="90" w:type="dxa"/>
              <w:bottom w:w="70" w:type="dxa"/>
              <w:end w:w="90" w:type="dxa"/>
            </w:tcMar>
            <w:shd w:fill="F5F7F8"/>
          </w:tcPr>
          <w:p>
            <w:pPr>
              <w:spacing w:after="0" w:before="0"/>
            </w:pPr>
            <w:r>
              <w:rPr>
                <w:rFonts w:ascii="Aptos" w:hAnsi="Aptos"/>
                <w:sz w:val="16"/>
              </w:rPr>
              <w:t>BooksRun</w:t>
            </w:r>
          </w:p>
        </w:tc>
        <w:tc>
          <w:tcPr>
            <w:tcW w:type="dxa" w:w="5184"/>
            <w:vAlign w:val="center"/>
            <w:tcMar>
              <w:top w:w="70" w:type="dxa"/>
              <w:start w:w="90" w:type="dxa"/>
              <w:bottom w:w="70" w:type="dxa"/>
              <w:end w:w="90" w:type="dxa"/>
            </w:tcMar>
            <w:shd w:fill="F5F7F8"/>
          </w:tcPr>
          <w:p>
            <w:pPr>
              <w:spacing w:after="0" w:before="0"/>
            </w:pPr>
            <w:r>
              <w:rPr>
                <w:rFonts w:ascii="Aptos" w:hAnsi="Aptos"/>
                <w:sz w:val="16"/>
              </w:rPr>
              <w:t>API supports Buy/Rent pricing, AutoBuy dropshipping, and daily FTP inventory for bulk buyers.</w:t>
            </w:r>
          </w:p>
        </w:tc>
        <w:tc>
          <w:tcPr>
            <w:tcW w:type="dxa" w:w="2880"/>
            <w:vAlign w:val="center"/>
            <w:tcMar>
              <w:top w:w="70" w:type="dxa"/>
              <w:start w:w="90" w:type="dxa"/>
              <w:bottom w:w="70" w:type="dxa"/>
              <w:end w:w="90" w:type="dxa"/>
            </w:tcMar>
            <w:shd w:fill="F5F7F8"/>
          </w:tcPr>
          <w:p>
            <w:pPr>
              <w:spacing w:after="0" w:before="0"/>
            </w:pPr>
            <w:r>
              <w:rPr>
                <w:rFonts w:ascii="Aptos" w:hAnsi="Aptos"/>
                <w:sz w:val="16"/>
              </w:rPr>
              <w:t>https://booksrun.com/page/api-reference</w:t>
            </w:r>
          </w:p>
        </w:tc>
      </w:tr>
      <w:tr>
        <w:trPr>
          <w:cantSplit/>
        </w:trPr>
        <w:tc>
          <w:tcPr>
            <w:tcW w:type="dxa" w:w="1944"/>
            <w:vAlign w:val="center"/>
            <w:tcMar>
              <w:top w:w="70" w:type="dxa"/>
              <w:start w:w="90" w:type="dxa"/>
              <w:bottom w:w="70" w:type="dxa"/>
              <w:end w:w="90" w:type="dxa"/>
            </w:tcMar>
          </w:tcPr>
          <w:p>
            <w:pPr>
              <w:spacing w:after="0" w:before="0"/>
            </w:pPr>
            <w:r>
              <w:rPr>
                <w:rFonts w:ascii="Aptos" w:hAnsi="Aptos"/>
                <w:sz w:val="16"/>
              </w:rPr>
              <w:t>Ingram</w:t>
            </w:r>
          </w:p>
        </w:tc>
        <w:tc>
          <w:tcPr>
            <w:tcW w:type="dxa" w:w="5184"/>
            <w:vAlign w:val="center"/>
            <w:tcMar>
              <w:top w:w="70" w:type="dxa"/>
              <w:start w:w="90" w:type="dxa"/>
              <w:bottom w:w="70" w:type="dxa"/>
              <w:end w:w="90" w:type="dxa"/>
            </w:tcMar>
          </w:tcPr>
          <w:p>
            <w:pPr>
              <w:spacing w:after="0" w:before="0"/>
            </w:pPr>
            <w:r>
              <w:rPr>
                <w:rFonts w:ascii="Aptos" w:hAnsi="Aptos"/>
                <w:sz w:val="16"/>
              </w:rPr>
              <w:t>ipage account-opening documentation indicates retailer account opening can be free and single-copy ordering is supported.</w:t>
            </w:r>
          </w:p>
        </w:tc>
        <w:tc>
          <w:tcPr>
            <w:tcW w:type="dxa" w:w="2880"/>
            <w:vAlign w:val="center"/>
            <w:tcMar>
              <w:top w:w="70" w:type="dxa"/>
              <w:start w:w="90" w:type="dxa"/>
              <w:bottom w:w="70" w:type="dxa"/>
              <w:end w:w="90" w:type="dxa"/>
            </w:tcMar>
          </w:tcPr>
          <w:p>
            <w:pPr>
              <w:spacing w:after="0" w:before="0"/>
            </w:pPr>
            <w:r>
              <w:rPr>
                <w:rFonts w:ascii="Aptos" w:hAnsi="Aptos"/>
                <w:sz w:val="16"/>
              </w:rPr>
              <w:t>https://www.ingramcontent.com/retailers-page/ipage-frequently-asked-question</w:t>
            </w:r>
          </w:p>
        </w:tc>
      </w:tr>
    </w:tbl>
    <w:tbl>
      <w:tblPr>
        <w:tblW w:type="auto" w:w="0"/>
        <w:jc w:val="center"/>
        <w:tblLayout w:type="autofit"/>
        <w:tblLook w:firstColumn="1" w:firstRow="1" w:lastColumn="0" w:lastRow="0" w:noHBand="0" w:noVBand="1" w:val="04A0"/>
      </w:tblPr>
      <w:tblGrid>
        <w:gridCol w:w="10166"/>
      </w:tblGrid>
      <w:tr>
        <w:trPr>
          <w:cantSplit/>
          <w:tblHeader w:val="true"/>
        </w:trPr>
        <w:tc>
          <w:tcPr>
            <w:tcW w:type="dxa" w:w="10166"/>
            <w:shd w:fill="EEF3F1"/>
            <w:tcMar>
              <w:top w:w="120" w:type="dxa"/>
              <w:start w:w="130" w:type="dxa"/>
              <w:bottom w:w="120" w:type="dxa"/>
              <w:end w:w="130" w:type="dxa"/>
            </w:tcMar>
          </w:tcPr>
          <w:p>
            <w:pPr>
              <w:pStyle w:val="Callout"/>
            </w:pPr>
            <w:r>
              <w:rPr>
                <w:b/>
                <w:color w:val="4D766E"/>
              </w:rPr>
              <w:t xml:space="preserve">Bottom line: </w:t>
            </w:r>
            <w:r>
              <w:rPr>
                <w:b w:val="0"/>
                <w:color w:val="20262C"/>
              </w:rPr>
              <w:t>This is a weeks-scale build, not a months-scale build, if the first release stays focused. The critical path is the supplier/payment/order state machine—not visual customization or advanced marketing.</w:t>
            </w:r>
          </w:p>
        </w:tc>
      </w:tr>
    </w:tbl>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C6770"/>
        <w:sz w:val="15"/>
      </w:rPr>
      <w:t>Working plan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C6770"/>
        <w:sz w:val="15"/>
      </w:rPr>
      <w:t>ONLINE BOOKSTORE • PRE-LAUNCH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24364B"/>
      <w:sz w:val="34"/>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w:hAnsi="Aptos"/>
      <w:b/>
      <w:bCs/>
      <w:color w:val="4D766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0262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4364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00"/>
    </w:pPr>
    <w:rPr>
      <w:rFonts w:ascii="Aptos" w:hAnsi="Aptos"/>
      <w:b/>
      <w:color w:val="24364B"/>
      <w:sz w:val="19"/>
    </w:rPr>
  </w:style>
  <w:style w:type="paragraph" w:customStyle="1" w:styleId="Small">
    <w:name w:val="Small"/>
    <w:pPr>
      <w:spacing w:after="60"/>
    </w:pPr>
    <w:rPr>
      <w:rFonts w:ascii="Aptos" w:hAnsi="Aptos"/>
      <w:color w:val="5C677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